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76"/>
        <w:jc w:val="center"/>
        <w:rPr/>
      </w:pPr>
      <w:r>
        <w:rPr>
          <w:rFonts w:cs="Times New Roman" w:ascii="Times New Roman" w:hAnsi="Times New Roman"/>
          <w:b/>
          <w:sz w:val="24"/>
          <w:szCs w:val="24"/>
        </w:rPr>
        <w:t>Darbo pasiūlymo aprašymas</w:t>
      </w:r>
    </w:p>
    <w:tbl>
      <w:tblPr>
        <w:tblStyle w:val="TableGrid"/>
        <w:tblW w:w="9628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firstRow="1" w:noVBand="1" w:lastRow="0" w:firstColumn="1" w:lastColumn="0" w:noHBand="0"/>
      </w:tblPr>
      <w:tblGrid>
        <w:gridCol w:w="2741"/>
        <w:gridCol w:w="6887"/>
      </w:tblGrid>
      <w:tr>
        <w:trPr/>
        <w:tc>
          <w:tcPr>
            <w:tcW w:w="2741" w:type="dxa"/>
            <w:tcBorders/>
          </w:tcPr>
          <w:p>
            <w:pPr>
              <w:pStyle w:val="Normal"/>
              <w:widowControl/>
              <w:suppressAutoHyphens w:val="true"/>
              <w:spacing w:lineRule="auto" w:line="276" w:before="0" w:after="0"/>
              <w:jc w:val="left"/>
              <w:rPr/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lt-LT" w:eastAsia="en-US" w:bidi="ar-SA"/>
              </w:rPr>
              <w:t>Sveikatos priežiūros įstaigos pavadinimas</w:t>
            </w:r>
          </w:p>
        </w:tc>
        <w:tc>
          <w:tcPr>
            <w:tcW w:w="6887" w:type="dxa"/>
            <w:tcBorders/>
          </w:tcPr>
          <w:p>
            <w:pPr>
              <w:pStyle w:val="Normal"/>
              <w:widowControl/>
              <w:suppressAutoHyphens w:val="true"/>
              <w:spacing w:lineRule="auto" w:line="276" w:before="0" w:after="0"/>
              <w:jc w:val="left"/>
              <w:rPr/>
            </w:pPr>
            <w:r>
              <w:rPr>
                <w:rFonts w:eastAsia="Calibri" w:cs="Times New Roman" w:ascii="Times New Roman" w:hAnsi="Times New Roman"/>
                <w:b/>
                <w:bCs/>
                <w:kern w:val="0"/>
                <w:sz w:val="24"/>
                <w:szCs w:val="24"/>
                <w:lang w:val="lt-LT" w:eastAsia="en-US" w:bidi="ar-SA"/>
              </w:rPr>
              <w:t>VIEŠOJI ĮSTAIGA REGIONINĖ MAŽEIKIŲ LIGONINĖ</w:t>
            </w:r>
          </w:p>
          <w:p>
            <w:pPr>
              <w:pStyle w:val="Normal"/>
              <w:widowControl/>
              <w:suppressAutoHyphens w:val="true"/>
              <w:spacing w:lineRule="auto" w:line="276" w:before="0" w:after="0"/>
              <w:jc w:val="left"/>
              <w:rPr/>
            </w:pPr>
            <w:r>
              <w:rPr>
                <w:rFonts w:eastAsia="Calibri" w:cs="Times New Roman" w:ascii="Times New Roman" w:hAnsi="Times New Roman"/>
                <w:b w:val="false"/>
                <w:bCs w:val="false"/>
                <w:kern w:val="0"/>
                <w:sz w:val="24"/>
                <w:szCs w:val="24"/>
                <w:lang w:val="lt-LT" w:eastAsia="en-US" w:bidi="ar-SA"/>
              </w:rPr>
              <w:t>J. Basanavičiaus g. 24, LT89217, Mažeikiai</w:t>
            </w:r>
          </w:p>
        </w:tc>
      </w:tr>
      <w:tr>
        <w:trPr/>
        <w:tc>
          <w:tcPr>
            <w:tcW w:w="2741" w:type="dxa"/>
            <w:tcBorders/>
          </w:tcPr>
          <w:p>
            <w:pPr>
              <w:pStyle w:val="Normal"/>
              <w:widowControl/>
              <w:suppressAutoHyphens w:val="true"/>
              <w:spacing w:lineRule="auto" w:line="276" w:before="0" w:after="0"/>
              <w:jc w:val="left"/>
              <w:rPr/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lt-LT" w:eastAsia="en-US" w:bidi="ar-SA"/>
              </w:rPr>
              <w:t>Pareigų pavadinimas</w:t>
            </w:r>
          </w:p>
        </w:tc>
        <w:tc>
          <w:tcPr>
            <w:tcW w:w="6887" w:type="dxa"/>
            <w:tcBorders/>
          </w:tcPr>
          <w:p>
            <w:pPr>
              <w:pStyle w:val="Normal"/>
              <w:widowControl/>
              <w:suppressAutoHyphens w:val="true"/>
              <w:spacing w:lineRule="auto" w:line="276" w:before="0" w:after="0"/>
              <w:jc w:val="left"/>
              <w:rPr/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lt-LT" w:eastAsia="en-US" w:bidi="ar-SA"/>
              </w:rPr>
              <w:t>Radiologijos technologas (ė)</w:t>
            </w:r>
          </w:p>
        </w:tc>
      </w:tr>
      <w:tr>
        <w:trPr/>
        <w:tc>
          <w:tcPr>
            <w:tcW w:w="2741" w:type="dxa"/>
            <w:tcBorders/>
          </w:tcPr>
          <w:p>
            <w:pPr>
              <w:pStyle w:val="Normal"/>
              <w:widowControl/>
              <w:suppressAutoHyphens w:val="true"/>
              <w:spacing w:lineRule="auto" w:line="276" w:before="0" w:after="0"/>
              <w:jc w:val="left"/>
              <w:rPr/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lt-LT" w:eastAsia="en-US" w:bidi="ar-SA"/>
              </w:rPr>
              <w:t>Pasiūlymas galioja iki</w:t>
            </w:r>
          </w:p>
        </w:tc>
        <w:tc>
          <w:tcPr>
            <w:tcW w:w="6887" w:type="dxa"/>
            <w:tcBorders/>
          </w:tcPr>
          <w:p>
            <w:pPr>
              <w:pStyle w:val="Normal"/>
              <w:widowControl/>
              <w:suppressAutoHyphens w:val="true"/>
              <w:spacing w:lineRule="auto" w:line="276" w:before="0" w:after="0"/>
              <w:jc w:val="left"/>
              <w:rPr/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lt-LT" w:eastAsia="en-US" w:bidi="ar-SA"/>
              </w:rPr>
              <w:t>2026-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lt-LT" w:eastAsia="en-US" w:bidi="ar-SA"/>
              </w:rPr>
              <w:t>12-31</w:t>
            </w:r>
          </w:p>
        </w:tc>
      </w:tr>
      <w:tr>
        <w:trPr/>
        <w:tc>
          <w:tcPr>
            <w:tcW w:w="2741" w:type="dxa"/>
            <w:tcBorders/>
          </w:tcPr>
          <w:p>
            <w:pPr>
              <w:pStyle w:val="Normal"/>
              <w:widowControl/>
              <w:suppressAutoHyphens w:val="true"/>
              <w:spacing w:lineRule="auto" w:line="276" w:before="0" w:after="0"/>
              <w:jc w:val="left"/>
              <w:rPr/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lt-LT" w:eastAsia="en-US" w:bidi="ar-SA"/>
              </w:rPr>
              <w:t>Reikalavimai darbuotojui</w:t>
            </w:r>
          </w:p>
        </w:tc>
        <w:tc>
          <w:tcPr>
            <w:tcW w:w="6887" w:type="dxa"/>
            <w:tcBorders/>
          </w:tcPr>
          <w:p>
            <w:pPr>
              <w:pStyle w:val="Normal"/>
              <w:widowControl/>
              <w:suppressAutoHyphens w:val="true"/>
              <w:spacing w:lineRule="auto" w:line="276" w:before="0" w:after="0"/>
              <w:jc w:val="both"/>
              <w:rPr/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lt-LT" w:eastAsia="en-US" w:bidi="ar-SA"/>
              </w:rPr>
              <w:t>Radiologijos technologo profesinė kvalifikacija.</w:t>
            </w:r>
          </w:p>
          <w:p>
            <w:pPr>
              <w:pStyle w:val="Normal"/>
              <w:widowControl/>
              <w:suppressAutoHyphens w:val="true"/>
              <w:spacing w:lineRule="auto" w:line="276" w:before="0" w:after="0"/>
              <w:jc w:val="both"/>
              <w:rPr/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lt-LT" w:eastAsia="en-US" w:bidi="ar-SA"/>
              </w:rPr>
              <w:t>Patirtis radiologinių tyrimų srityje (privalumas).</w:t>
            </w:r>
          </w:p>
        </w:tc>
      </w:tr>
      <w:tr>
        <w:trPr/>
        <w:tc>
          <w:tcPr>
            <w:tcW w:w="2741" w:type="dxa"/>
            <w:tcBorders/>
          </w:tcPr>
          <w:p>
            <w:pPr>
              <w:pStyle w:val="Normal"/>
              <w:widowControl/>
              <w:suppressAutoHyphens w:val="true"/>
              <w:spacing w:lineRule="auto" w:line="276" w:before="0" w:after="0"/>
              <w:jc w:val="left"/>
              <w:rPr/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lt-LT" w:eastAsia="en-US" w:bidi="ar-SA"/>
              </w:rPr>
              <w:t>Darbo specifika</w:t>
            </w:r>
          </w:p>
        </w:tc>
        <w:tc>
          <w:tcPr>
            <w:tcW w:w="6887" w:type="dxa"/>
            <w:tcBorders/>
          </w:tcPr>
          <w:p>
            <w:pPr>
              <w:pStyle w:val="Normal"/>
              <w:widowControl/>
              <w:suppressAutoHyphens w:val="true"/>
              <w:spacing w:lineRule="auto" w:line="276" w:before="0" w:after="0"/>
              <w:jc w:val="both"/>
              <w:rPr/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lt-LT" w:eastAsia="en-US" w:bidi="ar-SA"/>
              </w:rPr>
              <w:t>Darbas konsultacijų ir radiologijos skyriuje;</w:t>
            </w:r>
          </w:p>
          <w:p>
            <w:pPr>
              <w:pStyle w:val="Normal"/>
              <w:widowControl/>
              <w:suppressAutoHyphens w:val="true"/>
              <w:spacing w:lineRule="auto" w:line="276" w:before="0" w:after="0"/>
              <w:jc w:val="both"/>
              <w:rPr/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lt-LT" w:eastAsia="en-US" w:bidi="ar-SA"/>
              </w:rPr>
              <w:t>Radiologinių tyrimų atlikimas (kompiuterinės tomografijos, rentgeno, kaulų tankio aparatais, C-lanku).</w:t>
            </w:r>
          </w:p>
        </w:tc>
      </w:tr>
      <w:tr>
        <w:trPr/>
        <w:tc>
          <w:tcPr>
            <w:tcW w:w="2741" w:type="dxa"/>
            <w:tcBorders/>
          </w:tcPr>
          <w:p>
            <w:pPr>
              <w:pStyle w:val="Normal"/>
              <w:widowControl/>
              <w:suppressAutoHyphens w:val="true"/>
              <w:spacing w:lineRule="auto" w:line="276" w:before="0" w:after="0"/>
              <w:jc w:val="left"/>
              <w:rPr/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lt-LT" w:eastAsia="en-US" w:bidi="ar-SA"/>
              </w:rPr>
              <w:t>Siūlomo darbo pradžia</w:t>
            </w:r>
          </w:p>
        </w:tc>
        <w:tc>
          <w:tcPr>
            <w:tcW w:w="6887" w:type="dxa"/>
            <w:tcBorders/>
          </w:tcPr>
          <w:p>
            <w:pPr>
              <w:pStyle w:val="Normal"/>
              <w:widowControl/>
              <w:suppressAutoHyphens w:val="true"/>
              <w:spacing w:lineRule="auto" w:line="276" w:before="0" w:after="0"/>
              <w:jc w:val="left"/>
              <w:rPr/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lt-LT" w:eastAsia="en-US" w:bidi="ar-SA"/>
              </w:rPr>
              <w:t>Nedelsiant, pagal susitarimą, terminuota darbo sutartis.</w:t>
            </w:r>
          </w:p>
          <w:p>
            <w:pPr>
              <w:pStyle w:val="Normal"/>
              <w:widowControl/>
              <w:suppressAutoHyphens w:val="true"/>
              <w:spacing w:lineRule="auto" w:line="276" w:before="0" w:after="0"/>
              <w:jc w:val="left"/>
              <w:rPr/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lt-LT" w:eastAsia="en-US" w:bidi="ar-SA"/>
              </w:rPr>
              <w:t>Darbas pagal iš anksto suderintą grafiką, galimybė dirbti nuo 0,25 iki 1,0 etato;</w:t>
            </w:r>
          </w:p>
          <w:p>
            <w:pPr>
              <w:pStyle w:val="Normal"/>
              <w:widowControl/>
              <w:suppressAutoHyphens w:val="true"/>
              <w:spacing w:lineRule="auto" w:line="276" w:before="0" w:after="0"/>
              <w:jc w:val="left"/>
              <w:rPr/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lt-LT" w:eastAsia="en-US" w:bidi="ar-SA"/>
              </w:rPr>
              <w:t>Galimybė dirbti paromis.</w:t>
            </w:r>
          </w:p>
        </w:tc>
      </w:tr>
      <w:tr>
        <w:trPr/>
        <w:tc>
          <w:tcPr>
            <w:tcW w:w="2741" w:type="dxa"/>
            <w:tcBorders/>
          </w:tcPr>
          <w:p>
            <w:pPr>
              <w:pStyle w:val="Normal"/>
              <w:widowControl/>
              <w:suppressAutoHyphens w:val="true"/>
              <w:spacing w:lineRule="auto" w:line="276" w:before="0" w:after="0"/>
              <w:jc w:val="left"/>
              <w:rPr/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lt-LT" w:eastAsia="en-US" w:bidi="ar-SA"/>
              </w:rPr>
              <w:t>Darbuotojas aprūpinamas darbo drabužiais</w:t>
            </w:r>
          </w:p>
        </w:tc>
        <w:tc>
          <w:tcPr>
            <w:tcW w:w="6887" w:type="dxa"/>
            <w:tcBorders/>
          </w:tcPr>
          <w:p>
            <w:pPr>
              <w:pStyle w:val="Normal"/>
              <w:widowControl/>
              <w:suppressAutoHyphens w:val="true"/>
              <w:spacing w:lineRule="auto" w:line="276" w:before="0" w:after="0"/>
              <w:jc w:val="left"/>
              <w:rPr/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lt-LT" w:eastAsia="en-US" w:bidi="ar-SA"/>
              </w:rPr>
              <w:t>Gali būti aprūpinamas pagal susitarimą.</w:t>
            </w:r>
          </w:p>
        </w:tc>
      </w:tr>
      <w:tr>
        <w:trPr/>
        <w:tc>
          <w:tcPr>
            <w:tcW w:w="2741" w:type="dxa"/>
            <w:tcBorders/>
          </w:tcPr>
          <w:p>
            <w:pPr>
              <w:pStyle w:val="Normal"/>
              <w:widowControl/>
              <w:suppressAutoHyphens w:val="true"/>
              <w:spacing w:lineRule="auto" w:line="276" w:before="0" w:after="0"/>
              <w:jc w:val="left"/>
              <w:rPr/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lt-LT" w:eastAsia="en-US" w:bidi="ar-SA"/>
              </w:rPr>
              <w:t>Darbuotojas aprūpinamas kitomis darbo priemonėmis</w:t>
            </w:r>
          </w:p>
        </w:tc>
        <w:tc>
          <w:tcPr>
            <w:tcW w:w="6887" w:type="dxa"/>
            <w:tcBorders/>
          </w:tcPr>
          <w:p>
            <w:pPr>
              <w:pStyle w:val="Normal"/>
              <w:widowControl/>
              <w:suppressAutoHyphens w:val="true"/>
              <w:spacing w:lineRule="auto" w:line="276" w:before="0" w:after="0"/>
              <w:jc w:val="left"/>
              <w:rPr/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lt-LT" w:eastAsia="en-US" w:bidi="ar-SA"/>
              </w:rPr>
              <w:t>Taip</w:t>
            </w:r>
          </w:p>
        </w:tc>
      </w:tr>
      <w:tr>
        <w:trPr/>
        <w:tc>
          <w:tcPr>
            <w:tcW w:w="2741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76" w:before="0" w:after="0"/>
              <w:jc w:val="left"/>
              <w:rPr/>
            </w:pPr>
            <w:r>
              <w:rPr>
                <w:rFonts w:ascii="Times New Roman" w:hAnsi="Times New Roman"/>
              </w:rPr>
              <w:t>Gydymo įstaiga prenumeruoja informacines bazes</w:t>
            </w:r>
          </w:p>
        </w:tc>
        <w:tc>
          <w:tcPr>
            <w:tcW w:w="6887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76" w:before="0" w:after="0"/>
              <w:jc w:val="left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Naudojamos viešos duomenų bazės, esant poreikiui, prenumerata galima.</w:t>
            </w:r>
          </w:p>
        </w:tc>
      </w:tr>
      <w:tr>
        <w:trPr/>
        <w:tc>
          <w:tcPr>
            <w:tcW w:w="2741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76" w:before="0" w:after="0"/>
              <w:jc w:val="left"/>
              <w:rPr/>
            </w:pPr>
            <w:r>
              <w:rPr>
                <w:rFonts w:ascii="Times New Roman" w:hAnsi="Times New Roman"/>
              </w:rPr>
              <w:t>Suteikiama galimybė dirbti kompiuteriu su interneto prieiga</w:t>
            </w:r>
          </w:p>
        </w:tc>
        <w:tc>
          <w:tcPr>
            <w:tcW w:w="6887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76" w:before="0" w:after="0"/>
              <w:jc w:val="left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Taip</w:t>
            </w:r>
          </w:p>
        </w:tc>
      </w:tr>
      <w:tr>
        <w:trPr/>
        <w:tc>
          <w:tcPr>
            <w:tcW w:w="2741" w:type="dxa"/>
            <w:tcBorders/>
          </w:tcPr>
          <w:p>
            <w:pPr>
              <w:pStyle w:val="Normal"/>
              <w:widowControl/>
              <w:suppressAutoHyphens w:val="true"/>
              <w:spacing w:lineRule="auto" w:line="276" w:before="0" w:after="0"/>
              <w:jc w:val="left"/>
              <w:rPr/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lt-LT" w:eastAsia="en-US" w:bidi="ar-SA"/>
              </w:rPr>
              <w:t>Turima pagrindinė įranga darbui pagal specialybę</w:t>
            </w:r>
          </w:p>
        </w:tc>
        <w:tc>
          <w:tcPr>
            <w:tcW w:w="6887" w:type="dxa"/>
            <w:tcBorders/>
          </w:tcPr>
          <w:p>
            <w:pPr>
              <w:pStyle w:val="Normal"/>
              <w:widowControl/>
              <w:suppressAutoHyphens w:val="true"/>
              <w:spacing w:lineRule="auto" w:line="276" w:before="0" w:after="0"/>
              <w:jc w:val="left"/>
              <w:rPr/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lt-LT" w:eastAsia="en-US" w:bidi="ar-SA"/>
              </w:rPr>
              <w:t>Turima reikalinga įranga ir darbo priemonės</w:t>
            </w:r>
          </w:p>
        </w:tc>
      </w:tr>
      <w:tr>
        <w:trPr/>
        <w:tc>
          <w:tcPr>
            <w:tcW w:w="2741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76" w:before="0" w:after="0"/>
              <w:jc w:val="left"/>
              <w:rPr/>
            </w:pPr>
            <w:r>
              <w:rPr>
                <w:rFonts w:ascii="Times New Roman" w:hAnsi="Times New Roman"/>
              </w:rPr>
              <w:t>Galimybė kelti kvalifikaciją</w:t>
            </w:r>
          </w:p>
        </w:tc>
        <w:tc>
          <w:tcPr>
            <w:tcW w:w="6887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76" w:before="0" w:after="0"/>
              <w:jc w:val="left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Taip, esminės kvalifikacijos kėlimo sąlygos pateiktos VšĮ Mažeikių ligoninės kolektyvinėje sutartyje: </w:t>
            </w:r>
            <w:hyperlink r:id="rId2">
              <w:r>
                <w:rPr>
                  <w:rStyle w:val="Hyperlink"/>
                </w:rPr>
                <w:t>Ksutartis202204.pdf</w:t>
              </w:r>
            </w:hyperlink>
          </w:p>
        </w:tc>
      </w:tr>
      <w:tr>
        <w:trPr/>
        <w:tc>
          <w:tcPr>
            <w:tcW w:w="2741" w:type="dxa"/>
            <w:tcBorders/>
          </w:tcPr>
          <w:p>
            <w:pPr>
              <w:pStyle w:val="Normal"/>
              <w:widowControl/>
              <w:suppressAutoHyphens w:val="true"/>
              <w:spacing w:lineRule="auto" w:line="276" w:before="0" w:after="0"/>
              <w:jc w:val="left"/>
              <w:rPr/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lt-LT" w:eastAsia="en-US" w:bidi="ar-SA"/>
              </w:rPr>
              <w:t>Atlyginimas</w:t>
            </w:r>
          </w:p>
        </w:tc>
        <w:tc>
          <w:tcPr>
            <w:tcW w:w="6887" w:type="dxa"/>
            <w:tcBorders/>
          </w:tcPr>
          <w:p>
            <w:pPr>
              <w:pStyle w:val="Normal"/>
              <w:widowControl/>
              <w:suppressAutoHyphens w:val="true"/>
              <w:spacing w:lineRule="auto" w:line="276" w:before="0" w:after="0"/>
              <w:jc w:val="left"/>
              <w:rPr/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lt-LT" w:eastAsia="en-US" w:bidi="ar-SA"/>
              </w:rPr>
              <w:t>Darbo užmokestis nuo 1830 – 2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lt-LT" w:eastAsia="en-US" w:bidi="ar-SA"/>
              </w:rPr>
              <w:t>110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lt-LT" w:eastAsia="en-US" w:bidi="ar-SA"/>
              </w:rPr>
              <w:t xml:space="preserve"> Eur/mėn. (Bruto). K</w:t>
            </w:r>
            <w:r>
              <w:rPr>
                <w:rFonts w:eastAsia="Calibri" w:cs="Times New Roman" w:ascii="Times New Roman" w:hAnsi="Times New Roman"/>
                <w:bCs/>
                <w:kern w:val="0"/>
                <w:sz w:val="24"/>
                <w:szCs w:val="24"/>
                <w:lang w:val="lt-LT" w:eastAsia="en-US" w:bidi="ar-SA"/>
              </w:rPr>
              <w:t>onkretus atlyginimas priklauso nuo darbo masto, intensyvumo ir papildomų darbų.</w:t>
            </w:r>
          </w:p>
        </w:tc>
      </w:tr>
      <w:tr>
        <w:trPr/>
        <w:tc>
          <w:tcPr>
            <w:tcW w:w="2741" w:type="dxa"/>
            <w:tcBorders/>
          </w:tcPr>
          <w:p>
            <w:pPr>
              <w:pStyle w:val="Normal"/>
              <w:widowControl/>
              <w:suppressAutoHyphens w:val="true"/>
              <w:spacing w:lineRule="auto" w:line="276" w:before="0" w:after="0"/>
              <w:jc w:val="left"/>
              <w:rPr/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lt-LT" w:eastAsia="en-US" w:bidi="ar-SA"/>
              </w:rPr>
              <w:t>Papildomas socialinis paketas</w:t>
            </w:r>
          </w:p>
        </w:tc>
        <w:tc>
          <w:tcPr>
            <w:tcW w:w="6887" w:type="dxa"/>
            <w:tcBorders/>
          </w:tcPr>
          <w:p>
            <w:pPr>
              <w:pStyle w:val="BodyText"/>
              <w:widowControl/>
              <w:tabs>
                <w:tab w:val="clear" w:pos="1296"/>
                <w:tab w:val="left" w:pos="0" w:leader="none"/>
                <w:tab w:val="left" w:pos="60" w:leader="none"/>
                <w:tab w:val="left" w:pos="466" w:leader="none"/>
                <w:tab w:val="left" w:pos="1016" w:leader="none"/>
                <w:tab w:val="left" w:pos="5716" w:leader="none"/>
              </w:tabs>
              <w:spacing w:lineRule="auto" w:line="276" w:before="0" w:after="0"/>
              <w:ind w:hanging="0"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</w:rPr>
              <w:t>Dalyvavimą trūkstamų sveikatos priežiūros specialistų skatinimo dirbti Mažeikių rajono savivaldybės sveikatos priežiūros įstaigose programoje (informacija skelbiama ligoninės interneto svetainėje, skiltyje „Projektai“).</w:t>
            </w:r>
          </w:p>
          <w:p>
            <w:pPr>
              <w:pStyle w:val="Normal"/>
              <w:widowControl/>
              <w:suppressAutoHyphens w:val="true"/>
              <w:spacing w:lineRule="auto" w:line="276" w:before="0" w:after="0"/>
              <w:jc w:val="left"/>
              <w:rPr>
                <w:rFonts w:ascii="Times New Roman" w:hAnsi="Times New Roman" w:eastAsia="Calibri" w:cs="Times New Roman"/>
                <w:kern w:val="0"/>
                <w:sz w:val="24"/>
                <w:szCs w:val="24"/>
                <w:lang w:val="lt-LT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lt-LT" w:eastAsia="en-US" w:bidi="ar-SA"/>
              </w:rPr>
              <w:t>Vykstantiems į darbą iš kito rajono – vykimo į (iš) darbų išlaidų kompensavimas.</w:t>
            </w:r>
          </w:p>
        </w:tc>
      </w:tr>
      <w:tr>
        <w:trPr/>
        <w:tc>
          <w:tcPr>
            <w:tcW w:w="2741" w:type="dxa"/>
            <w:tcBorders/>
          </w:tcPr>
          <w:p>
            <w:pPr>
              <w:pStyle w:val="Normal"/>
              <w:widowControl/>
              <w:suppressAutoHyphens w:val="true"/>
              <w:spacing w:lineRule="auto" w:line="276" w:before="0" w:after="0"/>
              <w:jc w:val="left"/>
              <w:rPr/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lt-LT" w:eastAsia="en-US" w:bidi="ar-SA"/>
              </w:rPr>
              <w:t>Dėl darbo pasiūlymo kreiptis</w:t>
            </w:r>
          </w:p>
        </w:tc>
        <w:tc>
          <w:tcPr>
            <w:tcW w:w="6887" w:type="dxa"/>
            <w:tcBorders/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0"/>
              <w:ind w:hanging="0" w:left="0" w:right="113"/>
              <w:jc w:val="left"/>
              <w:rPr/>
            </w:pPr>
            <w:r>
              <w:rPr>
                <w:rStyle w:val="Hyperlink"/>
                <w:rFonts w:eastAsia="Calibri" w:cs="Times New Roman" w:ascii="Times New Roman" w:hAnsi="Times New Roman"/>
                <w:color w:val="auto"/>
                <w:kern w:val="0"/>
                <w:sz w:val="24"/>
                <w:szCs w:val="24"/>
                <w:u w:val="none"/>
                <w:lang w:val="en-US" w:eastAsia="en-US" w:bidi="ar-SA"/>
              </w:rPr>
              <w:t>El. paštas: personalas@mazeikiuligonine.lt</w:t>
            </w:r>
          </w:p>
          <w:p>
            <w:pPr>
              <w:pStyle w:val="Normal"/>
              <w:widowControl/>
              <w:suppressAutoHyphens w:val="true"/>
              <w:bidi w:val="0"/>
              <w:spacing w:lineRule="auto" w:line="276" w:before="0" w:after="0"/>
              <w:ind w:hanging="0" w:left="0" w:right="113"/>
              <w:jc w:val="left"/>
              <w:rPr/>
            </w:pPr>
            <w:r>
              <w:rPr>
                <w:rStyle w:val="Hyperlink"/>
                <w:rFonts w:eastAsia="Calibri" w:cs="Times New Roman" w:ascii="Times New Roman" w:hAnsi="Times New Roman"/>
                <w:color w:val="auto"/>
                <w:kern w:val="0"/>
                <w:sz w:val="24"/>
                <w:szCs w:val="24"/>
                <w:u w:val="none"/>
                <w:lang w:val="en-US" w:eastAsia="en-US" w:bidi="ar-SA"/>
              </w:rPr>
              <w:t>Tel. Nr. 0-443-50113, 0-443-65185</w:t>
            </w:r>
          </w:p>
        </w:tc>
      </w:tr>
    </w:tbl>
    <w:p>
      <w:pPr>
        <w:pStyle w:val="Normal"/>
        <w:spacing w:lineRule="auto" w:line="276" w:before="0" w:after="16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sectPr>
      <w:type w:val="nextPage"/>
      <w:pgSz w:w="11906" w:h="16838"/>
      <w:pgMar w:left="1701" w:right="567" w:gutter="0" w:header="0" w:top="993" w:footer="0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ba"/>
    <w:family w:val="roman"/>
    <w:pitch w:val="variable"/>
  </w:font>
  <w:font w:name="Calibri">
    <w:charset w:val="ba"/>
    <w:family w:val="roman"/>
    <w:pitch w:val="variable"/>
  </w:font>
  <w:font w:name="Tahoma">
    <w:charset w:val="ba"/>
    <w:family w:val="swiss"/>
    <w:pitch w:val="variable"/>
  </w:font>
  <w:font w:name="Liberation Sans">
    <w:altName w:val="Arial"/>
    <w:charset w:val="ba"/>
    <w:family w:val="swiss"/>
    <w:pitch w:val="variable"/>
  </w:font>
  <w:font w:name="Times New Roman">
    <w:charset w:val="ba"/>
    <w:family w:val="roman"/>
    <w:pitch w:val="variable"/>
  </w:font>
</w:fonts>
</file>

<file path=word/settings.xml><?xml version="1.0" encoding="utf-8"?>
<w:settings xmlns:w="http://schemas.openxmlformats.org/wordprocessingml/2006/main">
  <w:zoom w:percent="124"/>
  <w:defaultTabStop w:val="1296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lt-L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lt-LT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0c345c"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lt-LT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BalloonTextChar" w:customStyle="1">
    <w:name w:val="Balloon Text Char"/>
    <w:basedOn w:val="DefaultParagraphFont"/>
    <w:link w:val="BalloonText"/>
    <w:uiPriority w:val="99"/>
    <w:semiHidden/>
    <w:qFormat/>
    <w:rsid w:val="00834ea1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be5466"/>
    <w:rPr>
      <w:color w:themeColor="hyperlink" w:val="0563C1"/>
      <w:u w:val="single"/>
    </w:rPr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ucida Sans"/>
    </w:rPr>
  </w:style>
  <w:style w:type="paragraph" w:styleId="ListParagraph">
    <w:name w:val="List Paragraph"/>
    <w:basedOn w:val="Normal"/>
    <w:uiPriority w:val="34"/>
    <w:qFormat/>
    <w:rsid w:val="00fc3efd"/>
    <w:pPr>
      <w:spacing w:before="0" w:after="160"/>
      <w:ind w:left="720"/>
      <w:contextualSpacing/>
    </w:pPr>
    <w:rPr/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834ea1"/>
    <w:pPr>
      <w:spacing w:lineRule="auto" w:line="240" w:before="0" w:after="0"/>
    </w:pPr>
    <w:rPr>
      <w:rFonts w:ascii="Tahoma" w:hAnsi="Tahoma" w:cs="Tahoma"/>
      <w:sz w:val="16"/>
      <w:szCs w:val="16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39"/>
    <w:rsid w:val="00fc3efd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www.mazeikiuligonine.lt/wp-content/uploads/2022/04/Ksutartis202204.pdf" TargetMode="Externa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Application>LibreOffice/26.2.5.2$Windows_X86_64 LibreOffice_project/cd7284b4cbbfeb507e630c1aac019f4157393acb</Application>
  <AppVersion>15.0000</AppVersion>
  <Pages>1</Pages>
  <Words>208</Words>
  <Characters>1647</Characters>
  <CharactersWithSpaces>1819</CharactersWithSpaces>
  <Paragraphs>38</Paragraphs>
  <Company>Krokoz™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2024-02-08T12:08:00Z</dcterms:created>
  <dc:creator>Eglė</dc:creator>
  <dc:description/>
  <dc:language>lt-LT</dc:language>
  <cp:lastModifiedBy/>
  <cp:lastPrinted>2025-04-28T11:37:04Z</cp:lastPrinted>
  <dcterms:modified xsi:type="dcterms:W3CDTF">2026-08-19T09:01:59Z</dcterms:modified>
  <cp:revision>12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