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BD36" w14:textId="3C121E49" w:rsidR="0098258A" w:rsidRPr="0098258A" w:rsidRDefault="0098258A" w:rsidP="0098258A">
      <w:pPr>
        <w:pStyle w:val="BodyText"/>
        <w:ind w:left="0"/>
        <w:jc w:val="center"/>
        <w:rPr>
          <w:b/>
          <w:bCs/>
        </w:rPr>
      </w:pPr>
    </w:p>
    <w:p w14:paraId="097B93CB" w14:textId="77777777" w:rsidR="0098258A" w:rsidRPr="007D1E34" w:rsidRDefault="0098258A" w:rsidP="0098258A">
      <w:pPr>
        <w:pStyle w:val="Title"/>
        <w:spacing w:before="275" w:line="322" w:lineRule="exact"/>
        <w:jc w:val="center"/>
        <w:rPr>
          <w:rFonts w:ascii="Times New Roman" w:hAnsi="Times New Roman" w:cs="Times New Roman"/>
          <w:b/>
          <w:sz w:val="28"/>
          <w:szCs w:val="28"/>
        </w:rPr>
      </w:pPr>
      <w:r w:rsidRPr="007D1E34">
        <w:rPr>
          <w:rFonts w:ascii="Times New Roman" w:hAnsi="Times New Roman" w:cs="Times New Roman"/>
          <w:b/>
          <w:sz w:val="28"/>
          <w:szCs w:val="28"/>
        </w:rPr>
        <w:t>VALSTYBINĖS</w:t>
      </w:r>
      <w:r w:rsidRPr="007D1E34">
        <w:rPr>
          <w:rFonts w:ascii="Times New Roman" w:hAnsi="Times New Roman" w:cs="Times New Roman"/>
          <w:b/>
          <w:spacing w:val="-11"/>
          <w:sz w:val="28"/>
          <w:szCs w:val="28"/>
        </w:rPr>
        <w:t xml:space="preserve"> </w:t>
      </w:r>
      <w:r w:rsidRPr="007D1E34">
        <w:rPr>
          <w:rFonts w:ascii="Times New Roman" w:hAnsi="Times New Roman" w:cs="Times New Roman"/>
          <w:b/>
          <w:sz w:val="28"/>
          <w:szCs w:val="28"/>
        </w:rPr>
        <w:t xml:space="preserve">LIGONIŲ </w:t>
      </w:r>
      <w:r w:rsidRPr="007D1E34">
        <w:rPr>
          <w:rFonts w:ascii="Times New Roman" w:hAnsi="Times New Roman" w:cs="Times New Roman"/>
          <w:b/>
          <w:spacing w:val="-2"/>
          <w:sz w:val="28"/>
          <w:szCs w:val="28"/>
        </w:rPr>
        <w:t>KASOS</w:t>
      </w:r>
    </w:p>
    <w:p w14:paraId="2D7E808A" w14:textId="3DF34A76" w:rsidR="00CF3C86" w:rsidRPr="007D1E34" w:rsidRDefault="0098258A" w:rsidP="00EA3A84">
      <w:pPr>
        <w:pStyle w:val="Title"/>
        <w:ind w:right="170"/>
        <w:jc w:val="center"/>
        <w:rPr>
          <w:rFonts w:ascii="Times New Roman" w:hAnsi="Times New Roman" w:cs="Times New Roman"/>
          <w:b/>
          <w:sz w:val="28"/>
          <w:szCs w:val="28"/>
        </w:rPr>
      </w:pPr>
      <w:r w:rsidRPr="007D1E34">
        <w:rPr>
          <w:rFonts w:ascii="Times New Roman" w:hAnsi="Times New Roman" w:cs="Times New Roman"/>
          <w:b/>
          <w:sz w:val="28"/>
          <w:szCs w:val="28"/>
        </w:rPr>
        <w:t>PRIE</w:t>
      </w:r>
      <w:r w:rsidRPr="007D1E34">
        <w:rPr>
          <w:rFonts w:ascii="Times New Roman" w:hAnsi="Times New Roman" w:cs="Times New Roman"/>
          <w:b/>
          <w:spacing w:val="-9"/>
          <w:sz w:val="28"/>
          <w:szCs w:val="28"/>
        </w:rPr>
        <w:t xml:space="preserve"> </w:t>
      </w:r>
      <w:r w:rsidRPr="007D1E34">
        <w:rPr>
          <w:rFonts w:ascii="Times New Roman" w:hAnsi="Times New Roman" w:cs="Times New Roman"/>
          <w:b/>
          <w:sz w:val="28"/>
          <w:szCs w:val="28"/>
        </w:rPr>
        <w:t>SVEIKATOS</w:t>
      </w:r>
      <w:r w:rsidRPr="007D1E34">
        <w:rPr>
          <w:rFonts w:ascii="Times New Roman" w:hAnsi="Times New Roman" w:cs="Times New Roman"/>
          <w:b/>
          <w:spacing w:val="-13"/>
          <w:sz w:val="28"/>
          <w:szCs w:val="28"/>
        </w:rPr>
        <w:t xml:space="preserve"> </w:t>
      </w:r>
      <w:r w:rsidRPr="007D1E34">
        <w:rPr>
          <w:rFonts w:ascii="Times New Roman" w:hAnsi="Times New Roman" w:cs="Times New Roman"/>
          <w:b/>
          <w:sz w:val="28"/>
          <w:szCs w:val="28"/>
        </w:rPr>
        <w:t xml:space="preserve">APSAUGOS MINISTERIJOS </w:t>
      </w:r>
      <w:r w:rsidRPr="007D1E34">
        <w:rPr>
          <w:rFonts w:ascii="Times New Roman" w:hAnsi="Times New Roman" w:cs="Times New Roman"/>
          <w:b/>
          <w:spacing w:val="-2"/>
          <w:sz w:val="28"/>
          <w:szCs w:val="28"/>
        </w:rPr>
        <w:t>DIREKTORIUS</w:t>
      </w:r>
    </w:p>
    <w:p w14:paraId="0CEC30C1" w14:textId="77777777" w:rsidR="00CF3C86" w:rsidRDefault="00CF3C86" w:rsidP="00936BBC">
      <w:pPr>
        <w:jc w:val="center"/>
        <w:outlineLvl w:val="0"/>
        <w:rPr>
          <w:b/>
          <w:bCs/>
          <w:color w:val="000000" w:themeColor="text1"/>
          <w:sz w:val="24"/>
          <w:szCs w:val="24"/>
          <w:lang w:val="lt-LT"/>
        </w:rPr>
      </w:pPr>
    </w:p>
    <w:p w14:paraId="0809ED1D" w14:textId="77777777" w:rsidR="004838A3" w:rsidRDefault="004838A3" w:rsidP="00936BBC">
      <w:pPr>
        <w:jc w:val="center"/>
        <w:outlineLvl w:val="0"/>
        <w:rPr>
          <w:b/>
          <w:bCs/>
          <w:color w:val="000000" w:themeColor="text1"/>
          <w:sz w:val="24"/>
          <w:szCs w:val="24"/>
          <w:lang w:val="lt-LT"/>
        </w:rPr>
      </w:pPr>
    </w:p>
    <w:p w14:paraId="1BB76681" w14:textId="77777777" w:rsidR="004838A3" w:rsidRDefault="004838A3" w:rsidP="00936BBC">
      <w:pPr>
        <w:jc w:val="center"/>
        <w:outlineLvl w:val="0"/>
        <w:rPr>
          <w:b/>
          <w:bCs/>
          <w:color w:val="000000" w:themeColor="text1"/>
          <w:sz w:val="24"/>
          <w:szCs w:val="24"/>
          <w:lang w:val="lt-LT"/>
        </w:rPr>
      </w:pPr>
    </w:p>
    <w:p w14:paraId="4FCA2F99" w14:textId="6EDB1F06" w:rsidR="00936BBC" w:rsidRDefault="00CF3C86" w:rsidP="00936BBC">
      <w:pPr>
        <w:jc w:val="center"/>
        <w:outlineLvl w:val="0"/>
        <w:rPr>
          <w:b/>
          <w:color w:val="000000" w:themeColor="text1"/>
          <w:sz w:val="24"/>
          <w:szCs w:val="24"/>
        </w:rPr>
      </w:pPr>
      <w:r>
        <w:rPr>
          <w:b/>
          <w:bCs/>
          <w:color w:val="000000" w:themeColor="text1"/>
          <w:sz w:val="24"/>
          <w:szCs w:val="24"/>
          <w:lang w:val="lt-LT"/>
        </w:rPr>
        <w:t>SPECIALIŲJŲ TYRIMŲ TARNYBOS</w:t>
      </w:r>
      <w:r w:rsidR="00AA1116">
        <w:rPr>
          <w:b/>
          <w:bCs/>
          <w:color w:val="000000" w:themeColor="text1"/>
          <w:sz w:val="24"/>
          <w:szCs w:val="24"/>
          <w:lang w:val="lt-LT"/>
        </w:rPr>
        <w:t xml:space="preserve"> 2024-12-30</w:t>
      </w:r>
      <w:r>
        <w:rPr>
          <w:b/>
          <w:bCs/>
          <w:color w:val="000000" w:themeColor="text1"/>
          <w:sz w:val="24"/>
          <w:szCs w:val="24"/>
          <w:lang w:val="lt-LT"/>
        </w:rPr>
        <w:t xml:space="preserve"> KORUPCIJOS RIZIKOS ANALIZĖS IŠVADOJE </w:t>
      </w:r>
      <w:r w:rsidR="00AA1116" w:rsidRPr="00096AA4">
        <w:rPr>
          <w:b/>
          <w:color w:val="000000" w:themeColor="text1"/>
          <w:sz w:val="24"/>
          <w:szCs w:val="24"/>
        </w:rPr>
        <w:t xml:space="preserve">DĖL VALSTYBINĖS LIGONIŲ KASOS PRIE LIETUVOS RESPUBLIKOS SVEIKATOS APSAUGOS MINISTERIJOS BEI VILNIAUS, KAUNO, KLAIPĖDOS, ŠIAULIŲ IR PANEVĖŽIO TERITORINIŲ LIGONIŲ KASŲ VYKDOMOS ŪKIO SUBJEKTŲ KONTROLĖS PROCESŲ Nr. </w:t>
      </w:r>
      <w:r w:rsidR="0000194B" w:rsidRPr="00B045D7" w:rsidDel="00865694">
        <w:rPr>
          <w:b/>
          <w:color w:val="000000" w:themeColor="text1"/>
          <w:sz w:val="24"/>
          <w:szCs w:val="24"/>
        </w:rPr>
        <w:t>3K-21075 PATEIKTŲ PASIŪLYMŲ ĮGYVENDINIM</w:t>
      </w:r>
      <w:r w:rsidR="0000194B" w:rsidDel="00865694">
        <w:rPr>
          <w:b/>
          <w:color w:val="000000" w:themeColor="text1"/>
          <w:sz w:val="24"/>
          <w:szCs w:val="24"/>
        </w:rPr>
        <w:t>O ATASKAITA</w:t>
      </w:r>
    </w:p>
    <w:p w14:paraId="3A8FAC71" w14:textId="6ED98FD8" w:rsidR="00EE5B24" w:rsidRPr="00F45CE2" w:rsidRDefault="00F45CE2" w:rsidP="00F45CE2">
      <w:pPr>
        <w:jc w:val="center"/>
        <w:outlineLvl w:val="0"/>
        <w:rPr>
          <w:color w:val="000000" w:themeColor="text1"/>
          <w:sz w:val="24"/>
          <w:szCs w:val="24"/>
          <w:lang w:val="lt-LT"/>
        </w:rPr>
      </w:pPr>
      <w:r w:rsidRPr="00F45CE2">
        <w:rPr>
          <w:color w:val="000000" w:themeColor="text1"/>
          <w:sz w:val="24"/>
          <w:szCs w:val="24"/>
          <w:lang w:val="lt-LT"/>
        </w:rPr>
        <w:t>2026-</w:t>
      </w:r>
      <w:r w:rsidR="00E0769E">
        <w:rPr>
          <w:color w:val="000000" w:themeColor="text1"/>
          <w:sz w:val="24"/>
          <w:szCs w:val="24"/>
          <w:lang w:val="lt-LT"/>
        </w:rPr>
        <w:t>01-07 Nr. 7K-60</w:t>
      </w:r>
    </w:p>
    <w:p w14:paraId="78F00CDD" w14:textId="77777777" w:rsidR="00EE5B24" w:rsidRPr="00CF3C86" w:rsidRDefault="00EE5B24" w:rsidP="00936BBC">
      <w:pPr>
        <w:jc w:val="center"/>
        <w:outlineLvl w:val="0"/>
        <w:rPr>
          <w:color w:val="000000" w:themeColor="text1"/>
          <w:sz w:val="24"/>
          <w:szCs w:val="24"/>
          <w:lang w:val="lt-LT"/>
        </w:rPr>
      </w:pPr>
    </w:p>
    <w:tbl>
      <w:tblPr>
        <w:tblStyle w:val="TableGrid"/>
        <w:tblW w:w="14737" w:type="dxa"/>
        <w:tblLayout w:type="fixed"/>
        <w:tblLook w:val="04A0" w:firstRow="1" w:lastRow="0" w:firstColumn="1" w:lastColumn="0" w:noHBand="0" w:noVBand="1"/>
      </w:tblPr>
      <w:tblGrid>
        <w:gridCol w:w="3685"/>
        <w:gridCol w:w="3256"/>
        <w:gridCol w:w="6554"/>
        <w:gridCol w:w="1242"/>
      </w:tblGrid>
      <w:tr w:rsidR="00936BBC" w:rsidRPr="00435E03" w14:paraId="1430C052" w14:textId="77777777" w:rsidTr="00435E03">
        <w:trPr>
          <w:trHeight w:val="20"/>
          <w:tblHeader/>
        </w:trPr>
        <w:tc>
          <w:tcPr>
            <w:tcW w:w="3685" w:type="dxa"/>
          </w:tcPr>
          <w:p w14:paraId="48A8EA86" w14:textId="7A6A8BA3" w:rsidR="00936BBC" w:rsidRPr="00435E03" w:rsidRDefault="00E3439D" w:rsidP="00AA3369">
            <w:pPr>
              <w:widowControl w:val="0"/>
              <w:jc w:val="both"/>
              <w:rPr>
                <w:i/>
                <w:snapToGrid w:val="0"/>
                <w:color w:val="000000" w:themeColor="text1"/>
                <w:sz w:val="22"/>
                <w:szCs w:val="22"/>
                <w:lang w:val="lt-LT"/>
              </w:rPr>
            </w:pPr>
            <w:r>
              <w:rPr>
                <w:i/>
                <w:snapToGrid w:val="0"/>
                <w:color w:val="000000" w:themeColor="text1"/>
                <w:sz w:val="22"/>
                <w:szCs w:val="22"/>
                <w:lang w:val="lt-LT"/>
              </w:rPr>
              <w:t>P</w:t>
            </w:r>
            <w:r w:rsidR="00936BBC" w:rsidRPr="00435E03">
              <w:rPr>
                <w:i/>
                <w:snapToGrid w:val="0"/>
                <w:color w:val="000000" w:themeColor="text1"/>
                <w:sz w:val="22"/>
                <w:szCs w:val="22"/>
                <w:lang w:val="lt-LT"/>
              </w:rPr>
              <w:t>ateiktos pastabos</w:t>
            </w:r>
          </w:p>
        </w:tc>
        <w:tc>
          <w:tcPr>
            <w:tcW w:w="3256" w:type="dxa"/>
          </w:tcPr>
          <w:p w14:paraId="1339EE59" w14:textId="5EED72FE" w:rsidR="00936BBC" w:rsidRPr="00435E03" w:rsidRDefault="00E3439D" w:rsidP="00AA3369">
            <w:pPr>
              <w:widowControl w:val="0"/>
              <w:jc w:val="both"/>
              <w:rPr>
                <w:i/>
                <w:snapToGrid w:val="0"/>
                <w:color w:val="000000" w:themeColor="text1"/>
                <w:sz w:val="22"/>
                <w:szCs w:val="22"/>
                <w:lang w:val="lt-LT"/>
              </w:rPr>
            </w:pPr>
            <w:r>
              <w:rPr>
                <w:i/>
                <w:snapToGrid w:val="0"/>
                <w:color w:val="000000" w:themeColor="text1"/>
                <w:sz w:val="22"/>
                <w:szCs w:val="22"/>
                <w:lang w:val="lt-LT"/>
              </w:rPr>
              <w:t>P</w:t>
            </w:r>
            <w:r w:rsidR="00936BBC" w:rsidRPr="00435E03">
              <w:rPr>
                <w:i/>
                <w:snapToGrid w:val="0"/>
                <w:color w:val="000000" w:themeColor="text1"/>
                <w:sz w:val="22"/>
                <w:szCs w:val="22"/>
                <w:lang w:val="lt-LT"/>
              </w:rPr>
              <w:t xml:space="preserve">asiūlymai </w:t>
            </w:r>
            <w:r w:rsidR="00173C4D">
              <w:rPr>
                <w:i/>
                <w:snapToGrid w:val="0"/>
                <w:color w:val="000000" w:themeColor="text1"/>
                <w:sz w:val="22"/>
                <w:szCs w:val="22"/>
                <w:lang w:val="lt-LT"/>
              </w:rPr>
              <w:t xml:space="preserve">pagal </w:t>
            </w:r>
            <w:r w:rsidR="00936BBC" w:rsidRPr="00435E03" w:rsidDel="00173C4D">
              <w:rPr>
                <w:i/>
                <w:snapToGrid w:val="0"/>
                <w:color w:val="000000" w:themeColor="text1"/>
                <w:sz w:val="22"/>
                <w:szCs w:val="22"/>
                <w:lang w:val="lt-LT"/>
              </w:rPr>
              <w:t>pateiktas</w:t>
            </w:r>
            <w:r w:rsidR="00936BBC" w:rsidRPr="00435E03">
              <w:rPr>
                <w:i/>
                <w:snapToGrid w:val="0"/>
                <w:color w:val="000000" w:themeColor="text1"/>
                <w:sz w:val="22"/>
                <w:szCs w:val="22"/>
                <w:lang w:val="lt-LT"/>
              </w:rPr>
              <w:t xml:space="preserve"> pastabas</w:t>
            </w:r>
          </w:p>
        </w:tc>
        <w:tc>
          <w:tcPr>
            <w:tcW w:w="6554" w:type="dxa"/>
          </w:tcPr>
          <w:p w14:paraId="307993BD" w14:textId="77777777" w:rsidR="00936BBC" w:rsidRPr="00435E03" w:rsidRDefault="00936BBC" w:rsidP="00AA3369">
            <w:pPr>
              <w:widowControl w:val="0"/>
              <w:jc w:val="both"/>
              <w:rPr>
                <w:i/>
                <w:snapToGrid w:val="0"/>
                <w:color w:val="000000" w:themeColor="text1"/>
                <w:sz w:val="22"/>
                <w:szCs w:val="22"/>
                <w:lang w:val="lt-LT"/>
              </w:rPr>
            </w:pPr>
            <w:r w:rsidRPr="00435E03">
              <w:rPr>
                <w:i/>
                <w:snapToGrid w:val="0"/>
                <w:color w:val="000000" w:themeColor="text1"/>
                <w:sz w:val="22"/>
                <w:szCs w:val="22"/>
                <w:lang w:val="lt-LT"/>
              </w:rPr>
              <w:t>Duomenys apie pastabų ir pasiūlymų įgyvendinimą</w:t>
            </w:r>
          </w:p>
        </w:tc>
        <w:tc>
          <w:tcPr>
            <w:tcW w:w="1242" w:type="dxa"/>
          </w:tcPr>
          <w:p w14:paraId="43259778" w14:textId="77777777" w:rsidR="00936BBC" w:rsidRPr="00435E03" w:rsidRDefault="00936BBC" w:rsidP="00AA3369">
            <w:pPr>
              <w:widowControl w:val="0"/>
              <w:jc w:val="both"/>
              <w:rPr>
                <w:i/>
                <w:snapToGrid w:val="0"/>
                <w:color w:val="000000" w:themeColor="text1"/>
                <w:sz w:val="22"/>
                <w:szCs w:val="22"/>
                <w:lang w:val="lt-LT"/>
              </w:rPr>
            </w:pPr>
            <w:r w:rsidRPr="00435E03">
              <w:rPr>
                <w:i/>
                <w:snapToGrid w:val="0"/>
                <w:color w:val="000000" w:themeColor="text1"/>
                <w:sz w:val="22"/>
                <w:szCs w:val="22"/>
                <w:lang w:val="lt-LT"/>
              </w:rPr>
              <w:t>Specialiųjų tyrimų tarnybos vertinimas</w:t>
            </w:r>
          </w:p>
        </w:tc>
      </w:tr>
      <w:tr w:rsidR="00936BBC" w:rsidRPr="00435E03" w14:paraId="4271B7D9" w14:textId="77777777" w:rsidTr="00AA3369">
        <w:trPr>
          <w:trHeight w:val="20"/>
        </w:trPr>
        <w:tc>
          <w:tcPr>
            <w:tcW w:w="14737" w:type="dxa"/>
            <w:gridSpan w:val="4"/>
          </w:tcPr>
          <w:p w14:paraId="2D4EC895" w14:textId="77777777" w:rsidR="00936BBC" w:rsidRPr="00435E03" w:rsidRDefault="00936BBC">
            <w:pPr>
              <w:pStyle w:val="ListParagraph"/>
              <w:widowControl w:val="0"/>
              <w:numPr>
                <w:ilvl w:val="0"/>
                <w:numId w:val="1"/>
              </w:numPr>
              <w:jc w:val="center"/>
              <w:rPr>
                <w:b/>
                <w:bCs/>
                <w:i/>
                <w:snapToGrid w:val="0"/>
                <w:color w:val="000000" w:themeColor="text1"/>
                <w:sz w:val="22"/>
                <w:szCs w:val="22"/>
                <w:lang w:val="lt-LT"/>
              </w:rPr>
            </w:pPr>
            <w:r w:rsidRPr="00435E03">
              <w:rPr>
                <w:b/>
                <w:bCs/>
                <w:i/>
                <w:snapToGrid w:val="0"/>
                <w:color w:val="000000" w:themeColor="text1"/>
                <w:sz w:val="22"/>
                <w:szCs w:val="22"/>
                <w:lang w:val="lt-LT"/>
              </w:rPr>
              <w:t>Kritinės antikorupcinės pastabos</w:t>
            </w:r>
          </w:p>
        </w:tc>
      </w:tr>
      <w:tr w:rsidR="00936BBC" w:rsidRPr="00435E03" w14:paraId="4B3FF7A7" w14:textId="77777777" w:rsidTr="00435E03">
        <w:trPr>
          <w:trHeight w:val="20"/>
        </w:trPr>
        <w:tc>
          <w:tcPr>
            <w:tcW w:w="3685" w:type="dxa"/>
          </w:tcPr>
          <w:p w14:paraId="1FA6D0C2" w14:textId="6AED01D1" w:rsidR="00936BBC" w:rsidRPr="00435E03" w:rsidRDefault="00031EE9">
            <w:pPr>
              <w:jc w:val="both"/>
              <w:rPr>
                <w:color w:val="000000" w:themeColor="text1"/>
                <w:sz w:val="22"/>
                <w:szCs w:val="22"/>
                <w:lang w:val="lt-LT"/>
              </w:rPr>
            </w:pPr>
            <w:bookmarkStart w:id="0" w:name="_Hlk189225956"/>
            <w:r>
              <w:rPr>
                <w:color w:val="000000" w:themeColor="text1"/>
                <w:sz w:val="22"/>
                <w:szCs w:val="22"/>
                <w:lang w:val="lt-LT"/>
              </w:rPr>
              <w:t>„</w:t>
            </w:r>
            <w:r w:rsidR="00936BBC" w:rsidRPr="00435E03">
              <w:rPr>
                <w:color w:val="000000" w:themeColor="text1"/>
                <w:sz w:val="22"/>
                <w:szCs w:val="22"/>
                <w:lang w:val="lt-LT"/>
              </w:rPr>
              <w:t>4.1.1.1. Neproporcingai dideli stebėsenos ir kontrolės procedūrų skaičiai tarp skirtingų TLK suponuoja korupcijos pasireiškimo tikimybę ūkio subjektų kontrolės planavimo procese, kuriame didelė diskrecija suteikiama vietinėms TLK ir jų specialistams priimti sprendimus dėl šios kontrolės planavimo ir atlikimo (motyvai nurodyti 3.1. skyriuje).</w:t>
            </w:r>
            <w:r w:rsidR="00321E9F">
              <w:rPr>
                <w:color w:val="000000" w:themeColor="text1"/>
                <w:sz w:val="22"/>
                <w:szCs w:val="22"/>
                <w:lang w:val="lt-LT"/>
              </w:rPr>
              <w:t>“</w:t>
            </w:r>
          </w:p>
          <w:p w14:paraId="5DA35C8B" w14:textId="77777777" w:rsidR="00936BBC" w:rsidRPr="00435E03" w:rsidRDefault="00936BBC">
            <w:pPr>
              <w:widowControl w:val="0"/>
              <w:jc w:val="both"/>
              <w:rPr>
                <w:color w:val="000000" w:themeColor="text1"/>
                <w:sz w:val="22"/>
                <w:szCs w:val="22"/>
                <w:lang w:val="lt-LT"/>
              </w:rPr>
            </w:pPr>
          </w:p>
        </w:tc>
        <w:tc>
          <w:tcPr>
            <w:tcW w:w="3256" w:type="dxa"/>
          </w:tcPr>
          <w:p w14:paraId="5F2237EE" w14:textId="23F8E686" w:rsidR="00936BBC" w:rsidRPr="00435E03" w:rsidRDefault="00031EE9">
            <w:pPr>
              <w:widowControl w:val="0"/>
              <w:jc w:val="both"/>
              <w:rPr>
                <w:color w:val="000000" w:themeColor="text1"/>
                <w:sz w:val="22"/>
                <w:szCs w:val="22"/>
                <w:lang w:val="lt-LT"/>
              </w:rPr>
            </w:pPr>
            <w:r>
              <w:rPr>
                <w:color w:val="000000" w:themeColor="text1"/>
                <w:sz w:val="22"/>
                <w:szCs w:val="22"/>
                <w:lang w:val="lt-LT"/>
              </w:rPr>
              <w:t>„</w:t>
            </w:r>
            <w:r w:rsidR="00936BBC" w:rsidRPr="00435E03">
              <w:rPr>
                <w:color w:val="000000" w:themeColor="text1"/>
                <w:sz w:val="22"/>
                <w:szCs w:val="22"/>
                <w:lang w:val="lt-LT"/>
              </w:rPr>
              <w:t>5.1.1.1. Tobulinti Kontrolės aprašo nuostatas ir numatyti objektyvius kriterijus dėl privalomų kontrolės veiksmų pradėjimo</w:t>
            </w:r>
          </w:p>
          <w:p w14:paraId="3EC893D5" w14:textId="1CB8FF99" w:rsidR="00936BBC" w:rsidRPr="00435E03" w:rsidRDefault="00936BBC">
            <w:pPr>
              <w:widowControl w:val="0"/>
              <w:jc w:val="both"/>
              <w:rPr>
                <w:snapToGrid w:val="0"/>
                <w:color w:val="000000" w:themeColor="text1"/>
                <w:sz w:val="22"/>
                <w:szCs w:val="22"/>
                <w:lang w:val="lt-LT"/>
              </w:rPr>
            </w:pPr>
            <w:r w:rsidRPr="00435E03">
              <w:rPr>
                <w:color w:val="000000" w:themeColor="text1"/>
                <w:sz w:val="22"/>
                <w:szCs w:val="22"/>
                <w:lang w:val="lt-LT"/>
              </w:rPr>
              <w:t>5.1.1.2. Centralizuoti ir papildomomis kontrolės priemonėmis koordinuoti visų TLK vykdomų stebėsenų ir kontrolės procedūrų planavimo bei įgyvendinimo procedūras (dėl kritinės antikorupcinės pastabos Nr. 4.1.1.1.).</w:t>
            </w:r>
            <w:r w:rsidR="00031EE9">
              <w:rPr>
                <w:color w:val="000000" w:themeColor="text1"/>
                <w:sz w:val="22"/>
                <w:szCs w:val="22"/>
                <w:lang w:val="lt-LT"/>
              </w:rPr>
              <w:t>“</w:t>
            </w:r>
          </w:p>
        </w:tc>
        <w:tc>
          <w:tcPr>
            <w:tcW w:w="6554" w:type="dxa"/>
          </w:tcPr>
          <w:p w14:paraId="0AA0C7C0" w14:textId="2CB5DAF0" w:rsidR="004B5EEC" w:rsidRPr="00435E03" w:rsidRDefault="004B5EEC" w:rsidP="4F28D2E5">
            <w:pPr>
              <w:widowControl w:val="0"/>
              <w:jc w:val="both"/>
              <w:rPr>
                <w:snapToGrid w:val="0"/>
                <w:color w:val="000000" w:themeColor="text1"/>
                <w:sz w:val="22"/>
                <w:szCs w:val="22"/>
                <w:lang w:val="lt-LT"/>
              </w:rPr>
            </w:pPr>
            <w:r w:rsidRPr="00435E03">
              <w:rPr>
                <w:snapToGrid w:val="0"/>
                <w:color w:val="000000" w:themeColor="text1"/>
                <w:sz w:val="22"/>
                <w:szCs w:val="22"/>
                <w:lang w:val="lt-LT"/>
              </w:rPr>
              <w:t>5.1.1.1. Įgyvendinta. Nuo 2025</w:t>
            </w:r>
            <w:r w:rsidR="00B0692F">
              <w:rPr>
                <w:snapToGrid w:val="0"/>
                <w:color w:val="000000" w:themeColor="text1"/>
                <w:sz w:val="22"/>
                <w:szCs w:val="22"/>
                <w:lang w:val="lt-LT"/>
              </w:rPr>
              <w:t xml:space="preserve"> m. liepos 1 d.</w:t>
            </w:r>
            <w:r w:rsidRPr="00435E03">
              <w:rPr>
                <w:snapToGrid w:val="0"/>
                <w:color w:val="000000" w:themeColor="text1"/>
                <w:sz w:val="22"/>
                <w:szCs w:val="22"/>
                <w:lang w:val="lt-LT"/>
              </w:rPr>
              <w:t xml:space="preserve"> įsigaliojo </w:t>
            </w:r>
            <w:r w:rsidR="00E95715">
              <w:rPr>
                <w:snapToGrid w:val="0"/>
                <w:color w:val="000000" w:themeColor="text1"/>
                <w:sz w:val="22"/>
                <w:szCs w:val="22"/>
                <w:lang w:val="lt-LT"/>
              </w:rPr>
              <w:t>A</w:t>
            </w:r>
            <w:r w:rsidR="00E95715" w:rsidRPr="00E95715">
              <w:rPr>
                <w:snapToGrid w:val="0"/>
                <w:color w:val="000000" w:themeColor="text1"/>
                <w:sz w:val="22"/>
                <w:szCs w:val="22"/>
                <w:lang w:val="lt-LT"/>
              </w:rPr>
              <w:t>smens sveikatos priežiūros įstaigų, vaistinių ir kitų ūkio subjektų, sudariusių sutartis su Valstybine ligonių kasa prie Sveikatos apsaugos ministerijos, veiklos priežiūros tvarkos apraš</w:t>
            </w:r>
            <w:r w:rsidR="00E95715">
              <w:rPr>
                <w:snapToGrid w:val="0"/>
                <w:color w:val="000000" w:themeColor="text1"/>
                <w:sz w:val="22"/>
                <w:szCs w:val="22"/>
                <w:lang w:val="lt-LT"/>
              </w:rPr>
              <w:t xml:space="preserve">o, patvirtinto </w:t>
            </w:r>
            <w:r w:rsidR="00C90A4C" w:rsidRPr="00E95715">
              <w:rPr>
                <w:snapToGrid w:val="0"/>
                <w:color w:val="000000" w:themeColor="text1"/>
                <w:sz w:val="22"/>
                <w:szCs w:val="22"/>
                <w:lang w:val="lt-LT"/>
              </w:rPr>
              <w:t>Valstybin</w:t>
            </w:r>
            <w:r w:rsidR="00C90A4C">
              <w:rPr>
                <w:snapToGrid w:val="0"/>
                <w:color w:val="000000" w:themeColor="text1"/>
                <w:sz w:val="22"/>
                <w:szCs w:val="22"/>
                <w:lang w:val="lt-LT"/>
              </w:rPr>
              <w:t>ės</w:t>
            </w:r>
            <w:r w:rsidR="00C90A4C" w:rsidRPr="00E95715">
              <w:rPr>
                <w:snapToGrid w:val="0"/>
                <w:color w:val="000000" w:themeColor="text1"/>
                <w:sz w:val="22"/>
                <w:szCs w:val="22"/>
                <w:lang w:val="lt-LT"/>
              </w:rPr>
              <w:t xml:space="preserve"> ligonių kas</w:t>
            </w:r>
            <w:r w:rsidR="00C90A4C">
              <w:rPr>
                <w:snapToGrid w:val="0"/>
                <w:color w:val="000000" w:themeColor="text1"/>
                <w:sz w:val="22"/>
                <w:szCs w:val="22"/>
                <w:lang w:val="lt-LT"/>
              </w:rPr>
              <w:t>os</w:t>
            </w:r>
            <w:r w:rsidR="00C90A4C" w:rsidRPr="00E95715">
              <w:rPr>
                <w:snapToGrid w:val="0"/>
                <w:color w:val="000000" w:themeColor="text1"/>
                <w:sz w:val="22"/>
                <w:szCs w:val="22"/>
                <w:lang w:val="lt-LT"/>
              </w:rPr>
              <w:t xml:space="preserve"> prie Sveikatos apsaugos ministerijos</w:t>
            </w:r>
            <w:r w:rsidR="00C90A4C" w:rsidRPr="00435E03">
              <w:rPr>
                <w:snapToGrid w:val="0"/>
                <w:color w:val="000000" w:themeColor="text1"/>
                <w:sz w:val="22"/>
                <w:szCs w:val="22"/>
                <w:lang w:val="lt-LT"/>
              </w:rPr>
              <w:t xml:space="preserve"> </w:t>
            </w:r>
            <w:r w:rsidR="00C90A4C">
              <w:rPr>
                <w:snapToGrid w:val="0"/>
                <w:color w:val="000000" w:themeColor="text1"/>
                <w:sz w:val="22"/>
                <w:szCs w:val="22"/>
                <w:lang w:val="lt-LT"/>
              </w:rPr>
              <w:t xml:space="preserve">(toliau – </w:t>
            </w:r>
            <w:r w:rsidRPr="00435E03">
              <w:rPr>
                <w:snapToGrid w:val="0"/>
                <w:color w:val="000000" w:themeColor="text1"/>
                <w:sz w:val="22"/>
                <w:szCs w:val="22"/>
                <w:lang w:val="lt-LT"/>
              </w:rPr>
              <w:t>VLK</w:t>
            </w:r>
            <w:r w:rsidR="00C90A4C">
              <w:rPr>
                <w:snapToGrid w:val="0"/>
                <w:color w:val="000000" w:themeColor="text1"/>
                <w:sz w:val="22"/>
                <w:szCs w:val="22"/>
                <w:lang w:val="lt-LT"/>
              </w:rPr>
              <w:t>)</w:t>
            </w:r>
            <w:r w:rsidRPr="00435E03">
              <w:rPr>
                <w:snapToGrid w:val="0"/>
                <w:color w:val="000000" w:themeColor="text1"/>
                <w:sz w:val="22"/>
                <w:szCs w:val="22"/>
                <w:lang w:val="lt-LT"/>
              </w:rPr>
              <w:t xml:space="preserve"> direktoriaus </w:t>
            </w:r>
            <w:r w:rsidR="00721A1B">
              <w:rPr>
                <w:snapToGrid w:val="0"/>
                <w:color w:val="000000" w:themeColor="text1"/>
                <w:sz w:val="22"/>
                <w:szCs w:val="22"/>
                <w:lang w:val="lt-LT"/>
              </w:rPr>
              <w:t xml:space="preserve">2014 m. sausio 21 d. </w:t>
            </w:r>
            <w:r w:rsidR="00E95715" w:rsidRPr="00435E03">
              <w:rPr>
                <w:snapToGrid w:val="0"/>
                <w:color w:val="000000" w:themeColor="text1"/>
                <w:sz w:val="22"/>
                <w:szCs w:val="22"/>
                <w:lang w:val="lt-LT"/>
              </w:rPr>
              <w:t>įsakym</w:t>
            </w:r>
            <w:r w:rsidR="00E95715">
              <w:rPr>
                <w:snapToGrid w:val="0"/>
                <w:color w:val="000000" w:themeColor="text1"/>
                <w:sz w:val="22"/>
                <w:szCs w:val="22"/>
                <w:lang w:val="lt-LT"/>
              </w:rPr>
              <w:t>u Nr.</w:t>
            </w:r>
            <w:r w:rsidR="00E95715" w:rsidRPr="00435E03">
              <w:rPr>
                <w:snapToGrid w:val="0"/>
                <w:color w:val="000000" w:themeColor="text1"/>
                <w:sz w:val="22"/>
                <w:szCs w:val="22"/>
                <w:lang w:val="lt-LT"/>
              </w:rPr>
              <w:t xml:space="preserve"> </w:t>
            </w:r>
            <w:r w:rsidRPr="00435E03">
              <w:rPr>
                <w:snapToGrid w:val="0"/>
                <w:color w:val="000000" w:themeColor="text1"/>
                <w:sz w:val="22"/>
                <w:szCs w:val="22"/>
                <w:lang w:val="lt-LT"/>
              </w:rPr>
              <w:t xml:space="preserve">1K-10 „Dėl </w:t>
            </w:r>
            <w:r w:rsidR="0035140D">
              <w:rPr>
                <w:snapToGrid w:val="0"/>
                <w:color w:val="000000" w:themeColor="text1"/>
                <w:sz w:val="22"/>
                <w:szCs w:val="22"/>
                <w:lang w:val="lt-LT"/>
              </w:rPr>
              <w:t>A</w:t>
            </w:r>
            <w:r w:rsidRPr="00435E03">
              <w:rPr>
                <w:snapToGrid w:val="0"/>
                <w:color w:val="000000" w:themeColor="text1"/>
                <w:sz w:val="22"/>
                <w:szCs w:val="22"/>
                <w:lang w:val="lt-LT"/>
              </w:rPr>
              <w:t xml:space="preserve">smens sveikatos priežiūros įstaigų, vaistinių ir kitų ūkio subjektų, sudariusių sutartis su Valstybine ligonių kasa prie Sveikatos apsaugos ministerijos, veiklos priežiūros tvarkos aprašo patvirtinimo“ </w:t>
            </w:r>
            <w:r w:rsidR="00C24BA6">
              <w:rPr>
                <w:snapToGrid w:val="0"/>
                <w:color w:val="000000" w:themeColor="text1"/>
                <w:sz w:val="22"/>
                <w:szCs w:val="22"/>
                <w:lang w:val="lt-LT"/>
              </w:rPr>
              <w:t>(toliau – Aprašas Nr. 1K-10)</w:t>
            </w:r>
            <w:r w:rsidR="00721A1B">
              <w:rPr>
                <w:snapToGrid w:val="0"/>
                <w:color w:val="000000" w:themeColor="text1"/>
                <w:sz w:val="22"/>
                <w:szCs w:val="22"/>
                <w:lang w:val="lt-LT"/>
              </w:rPr>
              <w:t>,</w:t>
            </w:r>
            <w:r w:rsidRPr="00435E03">
              <w:rPr>
                <w:snapToGrid w:val="0"/>
                <w:color w:val="000000" w:themeColor="text1"/>
                <w:sz w:val="22"/>
                <w:szCs w:val="22"/>
                <w:lang w:val="lt-LT"/>
              </w:rPr>
              <w:t xml:space="preserve"> pakeitimas.</w:t>
            </w:r>
          </w:p>
          <w:p w14:paraId="43B0B7AA" w14:textId="40A8DC8F" w:rsidR="004B5EEC" w:rsidRPr="00435E03" w:rsidRDefault="004B5EEC" w:rsidP="00EF15FC">
            <w:pPr>
              <w:widowControl w:val="0"/>
              <w:jc w:val="both"/>
              <w:rPr>
                <w:color w:val="000000" w:themeColor="text1"/>
                <w:sz w:val="22"/>
                <w:szCs w:val="22"/>
              </w:rPr>
            </w:pPr>
            <w:r w:rsidRPr="00435E03">
              <w:rPr>
                <w:snapToGrid w:val="0"/>
                <w:color w:val="000000" w:themeColor="text1"/>
                <w:sz w:val="22"/>
                <w:szCs w:val="22"/>
              </w:rPr>
              <w:t xml:space="preserve">5.1.1.2. </w:t>
            </w:r>
            <w:r w:rsidRPr="00435E03">
              <w:rPr>
                <w:snapToGrid w:val="0"/>
                <w:color w:val="000000" w:themeColor="text1"/>
                <w:sz w:val="22"/>
                <w:szCs w:val="22"/>
                <w:lang w:val="lt-LT"/>
              </w:rPr>
              <w:t>Įgyvendinta</w:t>
            </w:r>
            <w:r w:rsidR="003C4CA5">
              <w:rPr>
                <w:snapToGrid w:val="0"/>
                <w:color w:val="000000" w:themeColor="text1"/>
                <w:sz w:val="22"/>
                <w:szCs w:val="22"/>
                <w:lang w:val="lt-LT"/>
              </w:rPr>
              <w:t xml:space="preserve"> – </w:t>
            </w:r>
            <w:r w:rsidR="002C0BA0">
              <w:rPr>
                <w:snapToGrid w:val="0"/>
                <w:color w:val="000000" w:themeColor="text1"/>
                <w:sz w:val="22"/>
                <w:szCs w:val="22"/>
                <w:lang w:val="lt-LT"/>
              </w:rPr>
              <w:t>v</w:t>
            </w:r>
            <w:r w:rsidR="002C0BA0" w:rsidRPr="002C0BA0">
              <w:rPr>
                <w:snapToGrid w:val="0"/>
                <w:color w:val="000000" w:themeColor="text1"/>
                <w:sz w:val="22"/>
                <w:szCs w:val="22"/>
              </w:rPr>
              <w:t xml:space="preserve">adovaujantis </w:t>
            </w:r>
            <w:r w:rsidR="002C0BA0">
              <w:rPr>
                <w:snapToGrid w:val="0"/>
                <w:color w:val="000000" w:themeColor="text1"/>
                <w:sz w:val="22"/>
                <w:szCs w:val="22"/>
                <w:lang w:val="lt-LT"/>
              </w:rPr>
              <w:t>Aprašu Nr. 1K-10</w:t>
            </w:r>
            <w:r w:rsidR="002C0BA0" w:rsidRPr="002C0BA0">
              <w:rPr>
                <w:snapToGrid w:val="0"/>
                <w:color w:val="000000" w:themeColor="text1"/>
                <w:sz w:val="22"/>
                <w:szCs w:val="22"/>
              </w:rPr>
              <w:t xml:space="preserve"> </w:t>
            </w:r>
            <w:r w:rsidR="002C0BA0">
              <w:rPr>
                <w:snapToGrid w:val="0"/>
                <w:color w:val="000000" w:themeColor="text1"/>
                <w:sz w:val="22"/>
                <w:szCs w:val="22"/>
              </w:rPr>
              <w:t xml:space="preserve">VLK </w:t>
            </w:r>
            <w:r w:rsidR="002C0BA0" w:rsidRPr="002C0BA0">
              <w:rPr>
                <w:snapToGrid w:val="0"/>
                <w:color w:val="000000" w:themeColor="text1"/>
                <w:sz w:val="22"/>
                <w:szCs w:val="22"/>
              </w:rPr>
              <w:t xml:space="preserve">direktorius tvirtina vieną Planinių kontrolės procedūrų metinį planą, kuriame nustatytos kontrolės kryptys. Vadovaujantis metiniu planu tvirtinami  bendri ketvirtiniai kontrolės procedūrų planai, kuriame nustatytos </w:t>
            </w:r>
            <w:r w:rsidR="002C0BA0" w:rsidRPr="002C0BA0">
              <w:rPr>
                <w:snapToGrid w:val="0"/>
                <w:color w:val="000000" w:themeColor="text1"/>
                <w:sz w:val="22"/>
                <w:szCs w:val="22"/>
              </w:rPr>
              <w:lastRenderedPageBreak/>
              <w:t>įstaigos, kurios bus tikrinamos, ir teritorinis skyrius, kuris atliks kontrolę</w:t>
            </w:r>
            <w:r w:rsidR="007D76B1">
              <w:rPr>
                <w:snapToGrid w:val="0"/>
                <w:color w:val="000000" w:themeColor="text1"/>
                <w:sz w:val="22"/>
                <w:szCs w:val="22"/>
              </w:rPr>
              <w:t>.</w:t>
            </w:r>
            <w:r w:rsidR="00B33D75" w:rsidRPr="00B33D75">
              <w:rPr>
                <w:rFonts w:eastAsiaTheme="minorEastAsia"/>
                <w:noProof/>
                <w:sz w:val="24"/>
                <w:szCs w:val="24"/>
                <w:lang w:eastAsia="lt-LT"/>
                <w14:ligatures w14:val="none"/>
              </w:rPr>
              <w:t xml:space="preserve"> </w:t>
            </w:r>
            <w:r w:rsidR="00B33D75" w:rsidRPr="00B33D75">
              <w:rPr>
                <w:snapToGrid w:val="0"/>
                <w:color w:val="000000" w:themeColor="text1"/>
                <w:sz w:val="22"/>
                <w:szCs w:val="22"/>
              </w:rPr>
              <w:t xml:space="preserve">Įstaigų priežiūros teritoriniuose skyriuose </w:t>
            </w:r>
            <w:r w:rsidR="00F027D1">
              <w:rPr>
                <w:snapToGrid w:val="0"/>
                <w:color w:val="000000" w:themeColor="text1"/>
                <w:sz w:val="22"/>
                <w:szCs w:val="22"/>
              </w:rPr>
              <w:t>ne</w:t>
            </w:r>
            <w:r w:rsidR="00B33D75" w:rsidRPr="00B33D75">
              <w:rPr>
                <w:snapToGrid w:val="0"/>
                <w:color w:val="000000" w:themeColor="text1"/>
                <w:sz w:val="22"/>
                <w:szCs w:val="22"/>
              </w:rPr>
              <w:t>vykdom</w:t>
            </w:r>
            <w:r w:rsidR="00B33D75">
              <w:rPr>
                <w:snapToGrid w:val="0"/>
                <w:color w:val="000000" w:themeColor="text1"/>
                <w:sz w:val="22"/>
                <w:szCs w:val="22"/>
              </w:rPr>
              <w:t>i</w:t>
            </w:r>
            <w:r w:rsidR="00B33D75" w:rsidRPr="00B33D75">
              <w:rPr>
                <w:snapToGrid w:val="0"/>
                <w:color w:val="000000" w:themeColor="text1"/>
                <w:sz w:val="22"/>
                <w:szCs w:val="22"/>
              </w:rPr>
              <w:t xml:space="preserve"> atskir</w:t>
            </w:r>
            <w:r w:rsidR="00B33D75">
              <w:rPr>
                <w:snapToGrid w:val="0"/>
                <w:color w:val="000000" w:themeColor="text1"/>
                <w:sz w:val="22"/>
                <w:szCs w:val="22"/>
              </w:rPr>
              <w:t>i</w:t>
            </w:r>
            <w:r w:rsidR="00B33D75" w:rsidRPr="00B33D75">
              <w:rPr>
                <w:snapToGrid w:val="0"/>
                <w:color w:val="000000" w:themeColor="text1"/>
                <w:sz w:val="22"/>
                <w:szCs w:val="22"/>
              </w:rPr>
              <w:t xml:space="preserve"> kontrolės procedūrų planavima</w:t>
            </w:r>
            <w:r w:rsidR="00B33D75">
              <w:rPr>
                <w:snapToGrid w:val="0"/>
                <w:color w:val="000000" w:themeColor="text1"/>
                <w:sz w:val="22"/>
                <w:szCs w:val="22"/>
              </w:rPr>
              <w:t>i</w:t>
            </w:r>
            <w:r w:rsidR="00B33D75" w:rsidRPr="00B33D75">
              <w:rPr>
                <w:snapToGrid w:val="0"/>
                <w:color w:val="000000" w:themeColor="text1"/>
                <w:sz w:val="22"/>
                <w:szCs w:val="22"/>
              </w:rPr>
              <w:t>.</w:t>
            </w:r>
          </w:p>
        </w:tc>
        <w:tc>
          <w:tcPr>
            <w:tcW w:w="1242" w:type="dxa"/>
          </w:tcPr>
          <w:p w14:paraId="6D82BAAA" w14:textId="77777777" w:rsidR="00936BBC" w:rsidRPr="00435E03" w:rsidRDefault="00936BBC">
            <w:pPr>
              <w:widowControl w:val="0"/>
              <w:jc w:val="both"/>
              <w:rPr>
                <w:snapToGrid w:val="0"/>
                <w:color w:val="000000" w:themeColor="text1"/>
                <w:sz w:val="22"/>
                <w:szCs w:val="22"/>
                <w:lang w:val="lt-LT"/>
              </w:rPr>
            </w:pPr>
          </w:p>
        </w:tc>
      </w:tr>
      <w:bookmarkEnd w:id="0"/>
      <w:tr w:rsidR="00936BBC" w:rsidRPr="00435E03" w14:paraId="13931FED" w14:textId="77777777" w:rsidTr="00435E03">
        <w:trPr>
          <w:trHeight w:val="20"/>
        </w:trPr>
        <w:tc>
          <w:tcPr>
            <w:tcW w:w="3685" w:type="dxa"/>
          </w:tcPr>
          <w:p w14:paraId="093B49D2" w14:textId="37A91C84" w:rsidR="00936BBC" w:rsidRPr="00435E03" w:rsidRDefault="00031EE9">
            <w:pPr>
              <w:jc w:val="both"/>
              <w:rPr>
                <w:color w:val="000000" w:themeColor="text1"/>
                <w:sz w:val="22"/>
                <w:szCs w:val="22"/>
                <w:lang w:val="lt-LT"/>
              </w:rPr>
            </w:pPr>
            <w:r>
              <w:rPr>
                <w:color w:val="000000" w:themeColor="text1"/>
                <w:sz w:val="22"/>
                <w:szCs w:val="22"/>
                <w:lang w:val="lt-LT"/>
              </w:rPr>
              <w:t>„</w:t>
            </w:r>
            <w:r w:rsidR="00936BBC" w:rsidRPr="00435E03">
              <w:rPr>
                <w:color w:val="000000" w:themeColor="text1"/>
                <w:sz w:val="22"/>
                <w:szCs w:val="22"/>
                <w:lang w:val="lt-LT"/>
              </w:rPr>
              <w:t>4.1.1.2. Automatizuota stebėsenos sistema yra tobulintina, kadangi ji realiu laiku nesugeba informuoti atsakingų Ligonių kasų specialistų, kurie galėtų imtis atitinkamų priemonių ir šitie pažeidimai yra identifikuojami tik kontrolės procedūrų metu. Taip pat, praktikoje egzistuoja atvejai, kai ūkio subjektai galimai piktnaudžiauja ASPĮ naudojamos IS netinkamu veikimu</w:t>
            </w:r>
            <w:r w:rsidR="00936BBC" w:rsidRPr="00435E03" w:rsidDel="00094414">
              <w:rPr>
                <w:color w:val="000000" w:themeColor="text1"/>
                <w:sz w:val="22"/>
                <w:szCs w:val="22"/>
                <w:lang w:val="lt-LT"/>
              </w:rPr>
              <w:t xml:space="preserve"> </w:t>
            </w:r>
            <w:r w:rsidR="00936BBC" w:rsidRPr="00435E03">
              <w:rPr>
                <w:color w:val="000000" w:themeColor="text1"/>
                <w:sz w:val="22"/>
                <w:szCs w:val="22"/>
                <w:lang w:val="lt-LT"/>
              </w:rPr>
              <w:t>(motyvai nurodyti 3.2. skyriuje).</w:t>
            </w:r>
            <w:r>
              <w:rPr>
                <w:color w:val="000000" w:themeColor="text1"/>
                <w:sz w:val="22"/>
                <w:szCs w:val="22"/>
                <w:lang w:val="lt-LT"/>
              </w:rPr>
              <w:t>“</w:t>
            </w:r>
          </w:p>
          <w:p w14:paraId="428BB32A" w14:textId="77777777" w:rsidR="00936BBC" w:rsidRPr="00435E03" w:rsidRDefault="00936BBC">
            <w:pPr>
              <w:widowControl w:val="0"/>
              <w:jc w:val="both"/>
              <w:rPr>
                <w:color w:val="000000" w:themeColor="text1"/>
                <w:sz w:val="22"/>
                <w:szCs w:val="22"/>
                <w:lang w:val="lt-LT"/>
              </w:rPr>
            </w:pPr>
          </w:p>
        </w:tc>
        <w:tc>
          <w:tcPr>
            <w:tcW w:w="3256" w:type="dxa"/>
          </w:tcPr>
          <w:p w14:paraId="04651CBE" w14:textId="4FD5F7D3" w:rsidR="00936BBC" w:rsidRPr="00435E03" w:rsidRDefault="00031EE9">
            <w:pPr>
              <w:widowControl w:val="0"/>
              <w:jc w:val="both"/>
              <w:rPr>
                <w:color w:val="000000" w:themeColor="text1"/>
                <w:sz w:val="22"/>
                <w:szCs w:val="22"/>
                <w:lang w:val="lt-LT"/>
              </w:rPr>
            </w:pPr>
            <w:r>
              <w:rPr>
                <w:color w:val="000000" w:themeColor="text1"/>
                <w:sz w:val="22"/>
                <w:szCs w:val="22"/>
                <w:lang w:val="lt-LT"/>
              </w:rPr>
              <w:t>„</w:t>
            </w:r>
            <w:r w:rsidR="00936BBC" w:rsidRPr="00435E03">
              <w:rPr>
                <w:color w:val="000000" w:themeColor="text1"/>
                <w:sz w:val="22"/>
                <w:szCs w:val="22"/>
                <w:lang w:val="lt-LT"/>
              </w:rPr>
              <w:t>5.1.1.3. Tobulinti Privalomojo sveikatos draudimo informacinės sistemos „SVEIDRA“ posistemių funkcionalumą, kuris padėtų efektyviau identifikuoti ūkio subjektų neatitiktis ir informuotų atsakingus specialistus (dėl kritinės antikorupcinės pastabos Nr. 4.1.1.2.).</w:t>
            </w:r>
            <w:r>
              <w:rPr>
                <w:color w:val="000000" w:themeColor="text1"/>
                <w:sz w:val="22"/>
                <w:szCs w:val="22"/>
                <w:lang w:val="lt-LT"/>
              </w:rPr>
              <w:t>“</w:t>
            </w:r>
          </w:p>
          <w:p w14:paraId="360C4744" w14:textId="07E4A986" w:rsidR="00936BBC" w:rsidRPr="00435E03" w:rsidRDefault="00031EE9">
            <w:pPr>
              <w:widowControl w:val="0"/>
              <w:jc w:val="both"/>
              <w:rPr>
                <w:color w:val="000000" w:themeColor="text1"/>
                <w:sz w:val="22"/>
                <w:szCs w:val="22"/>
                <w:lang w:val="lt-LT"/>
              </w:rPr>
            </w:pPr>
            <w:r>
              <w:rPr>
                <w:color w:val="000000" w:themeColor="text1"/>
                <w:sz w:val="22"/>
                <w:szCs w:val="22"/>
                <w:lang w:val="lt-LT"/>
              </w:rPr>
              <w:t>„</w:t>
            </w:r>
            <w:r w:rsidR="00936BBC" w:rsidRPr="00435E03">
              <w:rPr>
                <w:color w:val="000000" w:themeColor="text1"/>
                <w:sz w:val="22"/>
                <w:szCs w:val="22"/>
                <w:lang w:val="lt-LT"/>
              </w:rPr>
              <w:t>5.1.1.4. Kartu su ASPĮ spręsti informacinės sistemos Foxus netinkamą veikimą, eliminuojant ūkio subjektų galimybę piktnaudžiauti šios sistemos veikimo trūkumais. Alternatyviu atveju, svarstyti visų IS centralizavimą ar konsolidavimą, kurios pagrindu visos administravimo galimybės priklausytų pačiai VLK (dėl kritinės antikorupcinės pastabos Nr. 4.1.1.2.).</w:t>
            </w:r>
            <w:r>
              <w:rPr>
                <w:color w:val="000000" w:themeColor="text1"/>
                <w:sz w:val="22"/>
                <w:szCs w:val="22"/>
                <w:lang w:val="lt-LT"/>
              </w:rPr>
              <w:t>“</w:t>
            </w:r>
          </w:p>
          <w:p w14:paraId="1016D5EC" w14:textId="77777777" w:rsidR="00936BBC" w:rsidRPr="00435E03" w:rsidRDefault="00936BBC">
            <w:pPr>
              <w:widowControl w:val="0"/>
              <w:jc w:val="both"/>
              <w:rPr>
                <w:color w:val="000000" w:themeColor="text1"/>
                <w:sz w:val="22"/>
                <w:szCs w:val="22"/>
                <w:lang w:val="lt-LT"/>
              </w:rPr>
            </w:pPr>
          </w:p>
          <w:p w14:paraId="57196685" w14:textId="77777777" w:rsidR="00936BBC" w:rsidRPr="00435E03" w:rsidRDefault="00936BBC">
            <w:pPr>
              <w:widowControl w:val="0"/>
              <w:jc w:val="both"/>
              <w:rPr>
                <w:snapToGrid w:val="0"/>
                <w:color w:val="000000" w:themeColor="text1"/>
                <w:sz w:val="22"/>
                <w:szCs w:val="22"/>
                <w:lang w:val="lt-LT"/>
              </w:rPr>
            </w:pPr>
          </w:p>
        </w:tc>
        <w:tc>
          <w:tcPr>
            <w:tcW w:w="6554" w:type="dxa"/>
          </w:tcPr>
          <w:p w14:paraId="047EE778" w14:textId="12BC2E56" w:rsidR="00936BBC" w:rsidRPr="00435E03" w:rsidRDefault="004F60AC">
            <w:pPr>
              <w:widowControl w:val="0"/>
              <w:jc w:val="both"/>
              <w:rPr>
                <w:color w:val="000000" w:themeColor="text1"/>
                <w:sz w:val="22"/>
                <w:szCs w:val="22"/>
                <w:lang w:val="lt-LT"/>
              </w:rPr>
            </w:pPr>
            <w:r w:rsidRPr="004F60AC">
              <w:rPr>
                <w:color w:val="000000" w:themeColor="text1"/>
                <w:sz w:val="22"/>
                <w:szCs w:val="22"/>
                <w:lang w:val="lt-LT"/>
              </w:rPr>
              <w:t xml:space="preserve">5.1.1.3. </w:t>
            </w:r>
            <w:r w:rsidR="00936BBC" w:rsidRPr="00435E03">
              <w:rPr>
                <w:color w:val="000000" w:themeColor="text1"/>
                <w:sz w:val="22"/>
                <w:szCs w:val="22"/>
                <w:lang w:val="lt-LT"/>
              </w:rPr>
              <w:t xml:space="preserve">Numatoma tęsti </w:t>
            </w:r>
            <w:r w:rsidR="00D44532">
              <w:rPr>
                <w:color w:val="000000" w:themeColor="text1"/>
                <w:sz w:val="22"/>
                <w:szCs w:val="22"/>
                <w:lang w:val="lt-LT"/>
              </w:rPr>
              <w:t>p</w:t>
            </w:r>
            <w:r w:rsidR="00936BBC" w:rsidRPr="00435E03">
              <w:rPr>
                <w:color w:val="000000" w:themeColor="text1"/>
                <w:sz w:val="22"/>
                <w:szCs w:val="22"/>
                <w:lang w:val="lt-LT"/>
              </w:rPr>
              <w:t>rivalomojo sveikatos draudimo informacinės sistemos „S</w:t>
            </w:r>
            <w:r w:rsidR="00D44532">
              <w:rPr>
                <w:color w:val="000000" w:themeColor="text1"/>
                <w:sz w:val="22"/>
                <w:szCs w:val="22"/>
                <w:lang w:val="lt-LT"/>
              </w:rPr>
              <w:t>veidra</w:t>
            </w:r>
            <w:r w:rsidR="00936BBC" w:rsidRPr="00435E03">
              <w:rPr>
                <w:color w:val="000000" w:themeColor="text1"/>
                <w:sz w:val="22"/>
                <w:szCs w:val="22"/>
                <w:lang w:val="lt-LT"/>
              </w:rPr>
              <w:t>“</w:t>
            </w:r>
            <w:r w:rsidR="00D44532">
              <w:rPr>
                <w:color w:val="000000" w:themeColor="text1"/>
                <w:sz w:val="22"/>
                <w:szCs w:val="22"/>
                <w:lang w:val="lt-LT"/>
              </w:rPr>
              <w:t xml:space="preserve"> (toliau – „Sveidra“)</w:t>
            </w:r>
            <w:r w:rsidR="00936BBC" w:rsidRPr="00435E03">
              <w:rPr>
                <w:color w:val="000000" w:themeColor="text1"/>
                <w:sz w:val="22"/>
                <w:szCs w:val="22"/>
                <w:lang w:val="lt-LT"/>
              </w:rPr>
              <w:t xml:space="preserve"> posistemių tobulinimą, siekiant užtikrinti duomenų apie suteiktas paslaugas kokybę. </w:t>
            </w:r>
          </w:p>
          <w:p w14:paraId="12E7C707" w14:textId="214BEF7B" w:rsidR="00936BBC" w:rsidRPr="00435E03" w:rsidRDefault="00936BBC">
            <w:pPr>
              <w:widowControl w:val="0"/>
              <w:jc w:val="both"/>
              <w:rPr>
                <w:snapToGrid w:val="0"/>
                <w:color w:val="000000" w:themeColor="text1"/>
                <w:sz w:val="22"/>
                <w:szCs w:val="22"/>
                <w:lang w:val="lt-LT"/>
              </w:rPr>
            </w:pPr>
            <w:r w:rsidRPr="00435E03">
              <w:rPr>
                <w:snapToGrid w:val="0"/>
                <w:color w:val="000000" w:themeColor="text1"/>
                <w:sz w:val="22"/>
                <w:szCs w:val="22"/>
                <w:lang w:val="lt-LT"/>
              </w:rPr>
              <w:t xml:space="preserve">Nuolatos yra kuriamos naujos ir tobulinamos esamos duomenų apie suteiktas paslaugas tikrinimo taisyklės, kuriomis siekiama mažinti </w:t>
            </w:r>
            <w:r w:rsidR="00C90A4C">
              <w:rPr>
                <w:snapToGrid w:val="0"/>
                <w:color w:val="000000" w:themeColor="text1"/>
                <w:sz w:val="22"/>
                <w:szCs w:val="22"/>
                <w:lang w:val="lt-LT"/>
              </w:rPr>
              <w:t xml:space="preserve">asmens sveikatos priežiūros įstaigų (toliau – </w:t>
            </w:r>
            <w:r w:rsidRPr="00435E03">
              <w:rPr>
                <w:snapToGrid w:val="0"/>
                <w:color w:val="000000" w:themeColor="text1"/>
                <w:sz w:val="22"/>
                <w:szCs w:val="22"/>
                <w:lang w:val="lt-LT"/>
              </w:rPr>
              <w:t>ASPĮ</w:t>
            </w:r>
            <w:r w:rsidR="00C90A4C">
              <w:rPr>
                <w:snapToGrid w:val="0"/>
                <w:color w:val="000000" w:themeColor="text1"/>
                <w:sz w:val="22"/>
                <w:szCs w:val="22"/>
                <w:lang w:val="lt-LT"/>
              </w:rPr>
              <w:t>)</w:t>
            </w:r>
            <w:r w:rsidRPr="00435E03">
              <w:rPr>
                <w:snapToGrid w:val="0"/>
                <w:color w:val="000000" w:themeColor="text1"/>
                <w:sz w:val="22"/>
                <w:szCs w:val="22"/>
                <w:lang w:val="lt-LT"/>
              </w:rPr>
              <w:t xml:space="preserve"> </w:t>
            </w:r>
            <w:r w:rsidR="00D44532" w:rsidRPr="00435E03">
              <w:rPr>
                <w:snapToGrid w:val="0"/>
                <w:color w:val="000000" w:themeColor="text1"/>
                <w:sz w:val="22"/>
                <w:szCs w:val="22"/>
                <w:lang w:val="lt-LT"/>
              </w:rPr>
              <w:t xml:space="preserve">galimybes </w:t>
            </w:r>
            <w:r w:rsidRPr="00435E03">
              <w:rPr>
                <w:snapToGrid w:val="0"/>
                <w:color w:val="000000" w:themeColor="text1"/>
                <w:sz w:val="22"/>
                <w:szCs w:val="22"/>
                <w:lang w:val="lt-LT"/>
              </w:rPr>
              <w:t xml:space="preserve">teikti neteisingus duomenis. Šiuo metu </w:t>
            </w:r>
            <w:r w:rsidR="00D44532">
              <w:rPr>
                <w:snapToGrid w:val="0"/>
                <w:color w:val="000000" w:themeColor="text1"/>
                <w:sz w:val="22"/>
                <w:szCs w:val="22"/>
                <w:lang w:val="lt-LT"/>
              </w:rPr>
              <w:t xml:space="preserve">„Sveidros“ </w:t>
            </w:r>
            <w:r w:rsidR="00C90A4C">
              <w:rPr>
                <w:snapToGrid w:val="0"/>
                <w:color w:val="000000" w:themeColor="text1"/>
                <w:sz w:val="22"/>
                <w:szCs w:val="22"/>
                <w:lang w:val="lt-LT"/>
              </w:rPr>
              <w:t>A</w:t>
            </w:r>
            <w:r w:rsidRPr="00435E03">
              <w:rPr>
                <w:snapToGrid w:val="0"/>
                <w:color w:val="000000" w:themeColor="text1"/>
                <w:sz w:val="22"/>
                <w:szCs w:val="22"/>
                <w:lang w:val="lt-LT"/>
              </w:rPr>
              <w:t xml:space="preserve">mbulatorinių </w:t>
            </w:r>
            <w:r w:rsidR="00C90A4C" w:rsidRPr="00435E03">
              <w:rPr>
                <w:snapToGrid w:val="0"/>
                <w:color w:val="000000" w:themeColor="text1"/>
                <w:sz w:val="22"/>
                <w:szCs w:val="22"/>
                <w:lang w:val="lt-LT"/>
              </w:rPr>
              <w:t>paslaugų apskaitos posistem</w:t>
            </w:r>
            <w:r w:rsidR="00C90A4C">
              <w:rPr>
                <w:snapToGrid w:val="0"/>
                <w:color w:val="000000" w:themeColor="text1"/>
                <w:sz w:val="22"/>
                <w:szCs w:val="22"/>
                <w:lang w:val="lt-LT"/>
              </w:rPr>
              <w:t>yje (toliau – APAP)</w:t>
            </w:r>
            <w:r w:rsidR="00C90A4C" w:rsidRPr="00435E03">
              <w:rPr>
                <w:snapToGrid w:val="0"/>
                <w:color w:val="000000" w:themeColor="text1"/>
                <w:sz w:val="22"/>
                <w:szCs w:val="22"/>
                <w:lang w:val="lt-LT"/>
              </w:rPr>
              <w:t xml:space="preserve"> </w:t>
            </w:r>
            <w:r w:rsidRPr="00435E03">
              <w:rPr>
                <w:snapToGrid w:val="0"/>
                <w:color w:val="000000" w:themeColor="text1"/>
                <w:sz w:val="22"/>
                <w:szCs w:val="22"/>
                <w:lang w:val="lt-LT"/>
              </w:rPr>
              <w:t xml:space="preserve">ir </w:t>
            </w:r>
            <w:r w:rsidR="00C90A4C">
              <w:rPr>
                <w:snapToGrid w:val="0"/>
                <w:color w:val="000000" w:themeColor="text1"/>
                <w:sz w:val="22"/>
                <w:szCs w:val="22"/>
                <w:lang w:val="lt-LT"/>
              </w:rPr>
              <w:t>S</w:t>
            </w:r>
            <w:r w:rsidRPr="00435E03">
              <w:rPr>
                <w:snapToGrid w:val="0"/>
                <w:color w:val="000000" w:themeColor="text1"/>
                <w:sz w:val="22"/>
                <w:szCs w:val="22"/>
                <w:lang w:val="lt-LT"/>
              </w:rPr>
              <w:t>tacionarinių paslaugų apskaitos posistem</w:t>
            </w:r>
            <w:r w:rsidR="00C90A4C">
              <w:rPr>
                <w:snapToGrid w:val="0"/>
                <w:color w:val="000000" w:themeColor="text1"/>
                <w:sz w:val="22"/>
                <w:szCs w:val="22"/>
                <w:lang w:val="lt-LT"/>
              </w:rPr>
              <w:t>yje</w:t>
            </w:r>
            <w:r w:rsidRPr="00435E03">
              <w:rPr>
                <w:snapToGrid w:val="0"/>
                <w:color w:val="000000" w:themeColor="text1"/>
                <w:sz w:val="22"/>
                <w:szCs w:val="22"/>
                <w:lang w:val="lt-LT"/>
              </w:rPr>
              <w:t xml:space="preserve"> (</w:t>
            </w:r>
            <w:r w:rsidR="004F60AC">
              <w:rPr>
                <w:snapToGrid w:val="0"/>
                <w:color w:val="000000" w:themeColor="text1"/>
                <w:sz w:val="22"/>
                <w:szCs w:val="22"/>
                <w:lang w:val="lt-LT"/>
              </w:rPr>
              <w:t xml:space="preserve">toliau – </w:t>
            </w:r>
            <w:r w:rsidRPr="00435E03">
              <w:rPr>
                <w:snapToGrid w:val="0"/>
                <w:color w:val="000000" w:themeColor="text1"/>
                <w:sz w:val="22"/>
                <w:szCs w:val="22"/>
                <w:lang w:val="lt-LT"/>
              </w:rPr>
              <w:t xml:space="preserve">SPAP) jau yra </w:t>
            </w:r>
            <w:r w:rsidR="00D44532">
              <w:rPr>
                <w:snapToGrid w:val="0"/>
                <w:color w:val="000000" w:themeColor="text1"/>
                <w:sz w:val="22"/>
                <w:szCs w:val="22"/>
                <w:lang w:val="lt-LT"/>
              </w:rPr>
              <w:t>įdiegta</w:t>
            </w:r>
            <w:r w:rsidRPr="00435E03">
              <w:rPr>
                <w:snapToGrid w:val="0"/>
                <w:color w:val="000000" w:themeColor="text1"/>
                <w:sz w:val="22"/>
                <w:szCs w:val="22"/>
                <w:lang w:val="lt-LT"/>
              </w:rPr>
              <w:t xml:space="preserve"> daugiau nei 1</w:t>
            </w:r>
            <w:r w:rsidR="00D44532">
              <w:rPr>
                <w:snapToGrid w:val="0"/>
                <w:color w:val="000000" w:themeColor="text1"/>
                <w:sz w:val="22"/>
                <w:szCs w:val="22"/>
                <w:lang w:val="lt-LT"/>
              </w:rPr>
              <w:t xml:space="preserve"> </w:t>
            </w:r>
            <w:r w:rsidRPr="00435E03">
              <w:rPr>
                <w:snapToGrid w:val="0"/>
                <w:color w:val="000000" w:themeColor="text1"/>
                <w:sz w:val="22"/>
                <w:szCs w:val="22"/>
                <w:lang w:val="lt-LT"/>
              </w:rPr>
              <w:t xml:space="preserve">600 taisyklių. </w:t>
            </w:r>
          </w:p>
          <w:p w14:paraId="3F1080DA" w14:textId="2D62DA1A" w:rsidR="00627275" w:rsidRDefault="00D44532" w:rsidP="4F28D2E5">
            <w:pPr>
              <w:widowControl w:val="0"/>
              <w:jc w:val="both"/>
              <w:rPr>
                <w:snapToGrid w:val="0"/>
                <w:color w:val="000000" w:themeColor="text1"/>
                <w:sz w:val="22"/>
                <w:szCs w:val="22"/>
                <w:lang w:val="lt-LT"/>
              </w:rPr>
            </w:pPr>
            <w:r>
              <w:rPr>
                <w:snapToGrid w:val="0"/>
                <w:color w:val="000000" w:themeColor="text1"/>
                <w:sz w:val="22"/>
                <w:szCs w:val="22"/>
                <w:lang w:val="lt-LT"/>
              </w:rPr>
              <w:t>S</w:t>
            </w:r>
            <w:r w:rsidR="00936BBC" w:rsidRPr="00435E03">
              <w:rPr>
                <w:snapToGrid w:val="0"/>
                <w:color w:val="000000" w:themeColor="text1"/>
                <w:sz w:val="22"/>
                <w:szCs w:val="22"/>
                <w:lang w:val="lt-LT"/>
              </w:rPr>
              <w:t>iekiant tiksliau reglamentuoti paslaugų teikimo reikalavimus, keičiami ir teisės aktai (pvz.</w:t>
            </w:r>
            <w:r>
              <w:rPr>
                <w:snapToGrid w:val="0"/>
                <w:color w:val="000000" w:themeColor="text1"/>
                <w:sz w:val="22"/>
                <w:szCs w:val="22"/>
                <w:lang w:val="lt-LT"/>
              </w:rPr>
              <w:t>,</w:t>
            </w:r>
            <w:r w:rsidR="00936BBC" w:rsidRPr="00435E03">
              <w:rPr>
                <w:snapToGrid w:val="0"/>
                <w:color w:val="000000" w:themeColor="text1"/>
                <w:sz w:val="22"/>
                <w:szCs w:val="22"/>
                <w:lang w:val="lt-LT"/>
              </w:rPr>
              <w:t xml:space="preserve"> pradinės ambulatorinės medicininės reabilitacijos paslaugai, teikiamai grupei asmenų, kai atliekama mažiau nei 5 procedūros</w:t>
            </w:r>
            <w:r>
              <w:rPr>
                <w:snapToGrid w:val="0"/>
                <w:color w:val="000000" w:themeColor="text1"/>
                <w:sz w:val="22"/>
                <w:szCs w:val="22"/>
                <w:lang w:val="lt-LT"/>
              </w:rPr>
              <w:t>,</w:t>
            </w:r>
            <w:r w:rsidR="00936BBC" w:rsidRPr="00435E03">
              <w:rPr>
                <w:snapToGrid w:val="0"/>
                <w:color w:val="000000" w:themeColor="text1"/>
                <w:sz w:val="22"/>
                <w:szCs w:val="22"/>
                <w:lang w:val="lt-LT"/>
              </w:rPr>
              <w:t xml:space="preserve"> buvo sukurti atskiri kodai, nurodantys konkretų atliktų procedūrų skaičių</w:t>
            </w:r>
            <w:r w:rsidR="00627275">
              <w:rPr>
                <w:snapToGrid w:val="0"/>
                <w:color w:val="000000" w:themeColor="text1"/>
                <w:sz w:val="22"/>
                <w:szCs w:val="22"/>
                <w:lang w:val="lt-LT"/>
              </w:rPr>
              <w:t>,</w:t>
            </w:r>
            <w:r>
              <w:rPr>
                <w:snapToGrid w:val="0"/>
                <w:color w:val="000000" w:themeColor="text1"/>
                <w:sz w:val="22"/>
                <w:szCs w:val="22"/>
                <w:lang w:val="lt-LT"/>
              </w:rPr>
              <w:t xml:space="preserve"> – tai leidžia griežčiau</w:t>
            </w:r>
            <w:r w:rsidR="00936BBC" w:rsidRPr="00435E03">
              <w:rPr>
                <w:snapToGrid w:val="0"/>
                <w:color w:val="000000" w:themeColor="text1"/>
                <w:sz w:val="22"/>
                <w:szCs w:val="22"/>
                <w:lang w:val="lt-LT"/>
              </w:rPr>
              <w:t xml:space="preserve"> kontroliuoti </w:t>
            </w:r>
            <w:r w:rsidR="00C90A4C">
              <w:rPr>
                <w:snapToGrid w:val="0"/>
                <w:color w:val="000000" w:themeColor="text1"/>
                <w:sz w:val="22"/>
                <w:szCs w:val="22"/>
                <w:lang w:val="lt-LT"/>
              </w:rPr>
              <w:t>šių</w:t>
            </w:r>
            <w:r w:rsidR="00936BBC" w:rsidRPr="00435E03">
              <w:rPr>
                <w:snapToGrid w:val="0"/>
                <w:color w:val="000000" w:themeColor="text1"/>
                <w:sz w:val="22"/>
                <w:szCs w:val="22"/>
                <w:lang w:val="lt-LT"/>
              </w:rPr>
              <w:t xml:space="preserve"> procedūrų kiekį).</w:t>
            </w:r>
            <w:r w:rsidR="00627275">
              <w:rPr>
                <w:snapToGrid w:val="0"/>
                <w:color w:val="000000" w:themeColor="text1"/>
                <w:sz w:val="22"/>
                <w:szCs w:val="22"/>
                <w:lang w:val="lt-LT"/>
              </w:rPr>
              <w:t xml:space="preserve"> </w:t>
            </w:r>
          </w:p>
          <w:p w14:paraId="4149FB9C" w14:textId="558FAC25" w:rsidR="00627275" w:rsidRDefault="004F60AC" w:rsidP="4F28D2E5">
            <w:pPr>
              <w:widowControl w:val="0"/>
              <w:jc w:val="both"/>
              <w:rPr>
                <w:snapToGrid w:val="0"/>
                <w:color w:val="000000" w:themeColor="text1"/>
                <w:sz w:val="22"/>
                <w:szCs w:val="22"/>
                <w:lang w:val="lt-LT"/>
              </w:rPr>
            </w:pPr>
            <w:r w:rsidRPr="004F60AC">
              <w:rPr>
                <w:snapToGrid w:val="0"/>
                <w:color w:val="000000" w:themeColor="text1"/>
                <w:sz w:val="22"/>
                <w:szCs w:val="22"/>
                <w:lang w:val="lt-LT"/>
              </w:rPr>
              <w:t xml:space="preserve">5.1.1.4. </w:t>
            </w:r>
            <w:r w:rsidR="00936BBC" w:rsidRPr="00435E03">
              <w:rPr>
                <w:snapToGrid w:val="0"/>
                <w:color w:val="000000" w:themeColor="text1"/>
                <w:sz w:val="22"/>
                <w:szCs w:val="22"/>
                <w:lang w:val="lt-LT"/>
              </w:rPr>
              <w:t xml:space="preserve">VLK, kaip biudžetinė įstaiga, negali </w:t>
            </w:r>
            <w:r w:rsidR="00627275">
              <w:rPr>
                <w:snapToGrid w:val="0"/>
                <w:color w:val="000000" w:themeColor="text1"/>
                <w:sz w:val="22"/>
                <w:szCs w:val="22"/>
                <w:lang w:val="lt-LT"/>
              </w:rPr>
              <w:t>daryti įtak</w:t>
            </w:r>
            <w:r w:rsidR="007D1E34">
              <w:rPr>
                <w:snapToGrid w:val="0"/>
                <w:color w:val="000000" w:themeColor="text1"/>
                <w:sz w:val="22"/>
                <w:szCs w:val="22"/>
                <w:lang w:val="lt-LT"/>
              </w:rPr>
              <w:t>os</w:t>
            </w:r>
            <w:r w:rsidR="00936BBC" w:rsidRPr="00435E03">
              <w:rPr>
                <w:snapToGrid w:val="0"/>
                <w:color w:val="000000" w:themeColor="text1"/>
                <w:sz w:val="22"/>
                <w:szCs w:val="22"/>
                <w:lang w:val="lt-LT"/>
              </w:rPr>
              <w:t xml:space="preserve"> sprendim</w:t>
            </w:r>
            <w:r w:rsidR="00627275">
              <w:rPr>
                <w:snapToGrid w:val="0"/>
                <w:color w:val="000000" w:themeColor="text1"/>
                <w:sz w:val="22"/>
                <w:szCs w:val="22"/>
                <w:lang w:val="lt-LT"/>
              </w:rPr>
              <w:t>ams</w:t>
            </w:r>
            <w:r w:rsidR="00936BBC" w:rsidRPr="00435E03">
              <w:rPr>
                <w:snapToGrid w:val="0"/>
                <w:color w:val="000000" w:themeColor="text1"/>
                <w:sz w:val="22"/>
                <w:szCs w:val="22"/>
                <w:lang w:val="lt-LT"/>
              </w:rPr>
              <w:t xml:space="preserve"> dėl privači</w:t>
            </w:r>
            <w:r w:rsidR="00627275">
              <w:rPr>
                <w:snapToGrid w:val="0"/>
                <w:color w:val="000000" w:themeColor="text1"/>
                <w:sz w:val="22"/>
                <w:szCs w:val="22"/>
                <w:lang w:val="lt-LT"/>
              </w:rPr>
              <w:t>os</w:t>
            </w:r>
            <w:r w:rsidR="00936BBC" w:rsidRPr="00435E03">
              <w:rPr>
                <w:snapToGrid w:val="0"/>
                <w:color w:val="000000" w:themeColor="text1"/>
                <w:sz w:val="22"/>
                <w:szCs w:val="22"/>
                <w:lang w:val="lt-LT"/>
              </w:rPr>
              <w:t xml:space="preserve"> informacin</w:t>
            </w:r>
            <w:r w:rsidR="00627275">
              <w:rPr>
                <w:snapToGrid w:val="0"/>
                <w:color w:val="000000" w:themeColor="text1"/>
                <w:sz w:val="22"/>
                <w:szCs w:val="22"/>
                <w:lang w:val="lt-LT"/>
              </w:rPr>
              <w:t>ės</w:t>
            </w:r>
            <w:r w:rsidR="00936BBC" w:rsidRPr="00435E03">
              <w:rPr>
                <w:snapToGrid w:val="0"/>
                <w:color w:val="000000" w:themeColor="text1"/>
                <w:sz w:val="22"/>
                <w:szCs w:val="22"/>
                <w:lang w:val="lt-LT"/>
              </w:rPr>
              <w:t xml:space="preserve"> sistem</w:t>
            </w:r>
            <w:r w:rsidR="00627275">
              <w:rPr>
                <w:snapToGrid w:val="0"/>
                <w:color w:val="000000" w:themeColor="text1"/>
                <w:sz w:val="22"/>
                <w:szCs w:val="22"/>
                <w:lang w:val="lt-LT"/>
              </w:rPr>
              <w:t>os tobulinimo ir</w:t>
            </w:r>
            <w:r w:rsidR="00936BBC" w:rsidRPr="00435E03">
              <w:rPr>
                <w:snapToGrid w:val="0"/>
                <w:color w:val="000000" w:themeColor="text1"/>
                <w:sz w:val="22"/>
                <w:szCs w:val="22"/>
                <w:lang w:val="lt-LT"/>
              </w:rPr>
              <w:t xml:space="preserve"> priimti su tuo susijusių norminių teisės aktų ar finansuoti tokios sistemos tobulinimo darbus.</w:t>
            </w:r>
          </w:p>
          <w:p w14:paraId="74599109" w14:textId="06878D34" w:rsidR="00D90466" w:rsidRPr="00AA1116" w:rsidRDefault="00D944F8" w:rsidP="4F28D2E5">
            <w:pPr>
              <w:widowControl w:val="0"/>
              <w:jc w:val="both"/>
              <w:rPr>
                <w:color w:val="4C94D8" w:themeColor="text2" w:themeTint="80"/>
                <w:sz w:val="22"/>
                <w:szCs w:val="22"/>
                <w:lang w:val="lt-LT"/>
              </w:rPr>
            </w:pPr>
            <w:r w:rsidRPr="00435E03">
              <w:rPr>
                <w:snapToGrid w:val="0"/>
                <w:color w:val="000000" w:themeColor="text1"/>
                <w:sz w:val="22"/>
                <w:szCs w:val="22"/>
                <w:lang w:val="lt-LT"/>
              </w:rPr>
              <w:t>Tobulinama, papildant naujomis paslaugomis,</w:t>
            </w:r>
            <w:r w:rsidR="2BF3DBB3" w:rsidRPr="00435E03">
              <w:rPr>
                <w:snapToGrid w:val="0"/>
                <w:color w:val="000000" w:themeColor="text1"/>
                <w:sz w:val="22"/>
                <w:szCs w:val="22"/>
                <w:lang w:val="lt-LT"/>
              </w:rPr>
              <w:t xml:space="preserve"> </w:t>
            </w:r>
            <w:r w:rsidR="00627275">
              <w:rPr>
                <w:snapToGrid w:val="0"/>
                <w:color w:val="000000" w:themeColor="text1"/>
                <w:sz w:val="22"/>
                <w:szCs w:val="22"/>
                <w:lang w:val="lt-LT"/>
              </w:rPr>
              <w:t>„Sveidroje“ tvarkoma</w:t>
            </w:r>
            <w:r w:rsidRPr="00435E03">
              <w:rPr>
                <w:color w:val="000000" w:themeColor="text1"/>
                <w:sz w:val="22"/>
                <w:szCs w:val="22"/>
              </w:rPr>
              <w:t xml:space="preserve"> forma „</w:t>
            </w:r>
            <w:r w:rsidRPr="00AA1116">
              <w:rPr>
                <w:color w:val="000000" w:themeColor="text1"/>
                <w:sz w:val="22"/>
                <w:szCs w:val="22"/>
                <w:lang w:val="lt-LT"/>
              </w:rPr>
              <w:t>Asmeniui suteiktos paslaugos“</w:t>
            </w:r>
            <w:r w:rsidR="009D0AD9">
              <w:rPr>
                <w:color w:val="000000" w:themeColor="text1"/>
                <w:sz w:val="22"/>
                <w:szCs w:val="22"/>
                <w:lang w:val="lt-LT"/>
              </w:rPr>
              <w:t>: joje</w:t>
            </w:r>
            <w:r w:rsidRPr="00AA1116">
              <w:rPr>
                <w:color w:val="000000" w:themeColor="text1"/>
                <w:sz w:val="22"/>
                <w:szCs w:val="22"/>
                <w:lang w:val="lt-LT"/>
              </w:rPr>
              <w:t xml:space="preserve"> </w:t>
            </w:r>
            <w:r w:rsidR="00627275">
              <w:rPr>
                <w:color w:val="000000" w:themeColor="text1"/>
                <w:sz w:val="22"/>
                <w:szCs w:val="22"/>
                <w:lang w:val="lt-LT"/>
              </w:rPr>
              <w:t xml:space="preserve">ASPĮ </w:t>
            </w:r>
            <w:r w:rsidRPr="00AA1116">
              <w:rPr>
                <w:color w:val="000000" w:themeColor="text1"/>
                <w:sz w:val="22"/>
                <w:szCs w:val="22"/>
                <w:lang w:val="lt-LT"/>
              </w:rPr>
              <w:t>pateikiama informacija apie paslaugas, kuri</w:t>
            </w:r>
            <w:r w:rsidR="00627275">
              <w:rPr>
                <w:color w:val="000000" w:themeColor="text1"/>
                <w:sz w:val="22"/>
                <w:szCs w:val="22"/>
                <w:lang w:val="lt-LT"/>
              </w:rPr>
              <w:t>ų skaičius</w:t>
            </w:r>
            <w:r w:rsidRPr="00AA1116">
              <w:rPr>
                <w:color w:val="000000" w:themeColor="text1"/>
                <w:sz w:val="22"/>
                <w:szCs w:val="22"/>
                <w:lang w:val="lt-LT"/>
              </w:rPr>
              <w:t xml:space="preserve"> pagal paslaugų teikimo reikalavimus riboj</w:t>
            </w:r>
            <w:r w:rsidR="009D0AD9">
              <w:rPr>
                <w:color w:val="000000" w:themeColor="text1"/>
                <w:sz w:val="22"/>
                <w:szCs w:val="22"/>
                <w:lang w:val="lt-LT"/>
              </w:rPr>
              <w:t>amas</w:t>
            </w:r>
            <w:r w:rsidRPr="00AA1116">
              <w:rPr>
                <w:color w:val="000000" w:themeColor="text1"/>
                <w:sz w:val="22"/>
                <w:szCs w:val="22"/>
                <w:lang w:val="lt-LT"/>
              </w:rPr>
              <w:t xml:space="preserve"> tam tikr</w:t>
            </w:r>
            <w:r w:rsidR="009D0AD9">
              <w:rPr>
                <w:color w:val="000000" w:themeColor="text1"/>
                <w:sz w:val="22"/>
                <w:szCs w:val="22"/>
                <w:lang w:val="lt-LT"/>
              </w:rPr>
              <w:t>u</w:t>
            </w:r>
            <w:r w:rsidRPr="00AA1116">
              <w:rPr>
                <w:color w:val="000000" w:themeColor="text1"/>
                <w:sz w:val="22"/>
                <w:szCs w:val="22"/>
                <w:lang w:val="lt-LT"/>
              </w:rPr>
              <w:t xml:space="preserve"> laikotarp</w:t>
            </w:r>
            <w:r w:rsidR="009D0AD9">
              <w:rPr>
                <w:color w:val="000000" w:themeColor="text1"/>
                <w:sz w:val="22"/>
                <w:szCs w:val="22"/>
                <w:lang w:val="lt-LT"/>
              </w:rPr>
              <w:t>iu</w:t>
            </w:r>
            <w:r w:rsidRPr="00AA1116">
              <w:rPr>
                <w:color w:val="000000" w:themeColor="text1"/>
                <w:sz w:val="22"/>
                <w:szCs w:val="22"/>
                <w:lang w:val="lt-LT"/>
              </w:rPr>
              <w:t xml:space="preserve">. </w:t>
            </w:r>
          </w:p>
          <w:p w14:paraId="3783F76D" w14:textId="5E4A0EB2" w:rsidR="00936BBC" w:rsidRPr="00435E03" w:rsidRDefault="007D1E34">
            <w:pPr>
              <w:widowControl w:val="0"/>
              <w:jc w:val="both"/>
              <w:rPr>
                <w:snapToGrid w:val="0"/>
                <w:color w:val="000000" w:themeColor="text1"/>
                <w:sz w:val="22"/>
                <w:szCs w:val="22"/>
                <w:lang w:val="lt-LT"/>
              </w:rPr>
            </w:pPr>
            <w:r>
              <w:rPr>
                <w:rStyle w:val="Strong"/>
                <w:rFonts w:eastAsiaTheme="majorEastAsia"/>
                <w:b w:val="0"/>
                <w:bCs w:val="0"/>
                <w:sz w:val="22"/>
                <w:szCs w:val="22"/>
                <w:lang w:val="lt-LT"/>
              </w:rPr>
              <w:t xml:space="preserve">Įgyvendinta. </w:t>
            </w:r>
            <w:r w:rsidR="000F4DE0">
              <w:rPr>
                <w:rStyle w:val="Strong"/>
                <w:rFonts w:eastAsiaTheme="majorEastAsia"/>
                <w:b w:val="0"/>
                <w:bCs w:val="0"/>
                <w:sz w:val="22"/>
                <w:szCs w:val="22"/>
                <w:lang w:val="lt-LT"/>
              </w:rPr>
              <w:t xml:space="preserve">„Sveidros“ </w:t>
            </w:r>
            <w:r w:rsidR="00D944F8" w:rsidRPr="007B0B85">
              <w:rPr>
                <w:rStyle w:val="Strong"/>
                <w:rFonts w:eastAsiaTheme="majorEastAsia"/>
                <w:b w:val="0"/>
                <w:bCs w:val="0"/>
                <w:sz w:val="22"/>
                <w:szCs w:val="22"/>
                <w:lang w:val="lt-LT"/>
              </w:rPr>
              <w:t>K</w:t>
            </w:r>
            <w:r w:rsidR="000F4DE0">
              <w:rPr>
                <w:rStyle w:val="Strong"/>
                <w:rFonts w:eastAsiaTheme="majorEastAsia"/>
                <w:b w:val="0"/>
                <w:bCs w:val="0"/>
                <w:sz w:val="22"/>
                <w:szCs w:val="22"/>
                <w:lang w:val="lt-LT"/>
              </w:rPr>
              <w:t>ontrolės taisyklių administravimo posistemis (toliau – K</w:t>
            </w:r>
            <w:r w:rsidR="00D944F8" w:rsidRPr="007B0B85">
              <w:rPr>
                <w:rStyle w:val="Strong"/>
                <w:rFonts w:eastAsiaTheme="majorEastAsia"/>
                <w:b w:val="0"/>
                <w:bCs w:val="0"/>
                <w:sz w:val="22"/>
                <w:szCs w:val="22"/>
                <w:lang w:val="lt-LT"/>
              </w:rPr>
              <w:t>TAP</w:t>
            </w:r>
            <w:r w:rsidR="000F4DE0">
              <w:rPr>
                <w:rStyle w:val="Strong"/>
                <w:rFonts w:eastAsiaTheme="majorEastAsia"/>
                <w:b w:val="0"/>
                <w:bCs w:val="0"/>
                <w:sz w:val="22"/>
                <w:szCs w:val="22"/>
                <w:lang w:val="lt-LT"/>
              </w:rPr>
              <w:t>)</w:t>
            </w:r>
            <w:r w:rsidR="00D944F8" w:rsidRPr="007B0B85">
              <w:rPr>
                <w:rStyle w:val="Strong"/>
                <w:rFonts w:eastAsiaTheme="majorEastAsia"/>
                <w:b w:val="0"/>
                <w:bCs w:val="0"/>
                <w:sz w:val="22"/>
                <w:szCs w:val="22"/>
                <w:lang w:val="lt-LT"/>
              </w:rPr>
              <w:t xml:space="preserve"> </w:t>
            </w:r>
            <w:r w:rsidR="009D0AD9" w:rsidRPr="007B0B85">
              <w:rPr>
                <w:rStyle w:val="Strong"/>
                <w:rFonts w:eastAsiaTheme="majorEastAsia"/>
                <w:b w:val="0"/>
                <w:bCs w:val="0"/>
                <w:sz w:val="22"/>
                <w:szCs w:val="22"/>
                <w:lang w:val="lt-LT"/>
              </w:rPr>
              <w:t xml:space="preserve">buvo galutinai </w:t>
            </w:r>
            <w:r w:rsidR="00D944F8" w:rsidRPr="007B0B85" w:rsidDel="009D0AD9">
              <w:rPr>
                <w:rStyle w:val="Strong"/>
                <w:rFonts w:eastAsiaTheme="majorEastAsia"/>
                <w:b w:val="0"/>
                <w:bCs w:val="0"/>
                <w:sz w:val="22"/>
                <w:szCs w:val="22"/>
                <w:lang w:val="lt-LT"/>
              </w:rPr>
              <w:t>įdiegtas</w:t>
            </w:r>
            <w:r w:rsidR="00D944F8" w:rsidRPr="007B0B85">
              <w:rPr>
                <w:rStyle w:val="Strong"/>
                <w:rFonts w:eastAsiaTheme="majorEastAsia"/>
                <w:b w:val="0"/>
                <w:bCs w:val="0"/>
                <w:sz w:val="22"/>
                <w:szCs w:val="22"/>
                <w:lang w:val="lt-LT"/>
              </w:rPr>
              <w:t xml:space="preserve"> 2025</w:t>
            </w:r>
            <w:r w:rsidR="00B0692F">
              <w:rPr>
                <w:rStyle w:val="Strong"/>
                <w:rFonts w:eastAsiaTheme="majorEastAsia"/>
                <w:b w:val="0"/>
                <w:bCs w:val="0"/>
                <w:sz w:val="22"/>
                <w:szCs w:val="22"/>
                <w:lang w:val="lt-LT"/>
              </w:rPr>
              <w:t xml:space="preserve"> m. rugsėjo 9 d. </w:t>
            </w:r>
            <w:r w:rsidR="00D944F8" w:rsidRPr="007B0B85">
              <w:rPr>
                <w:rStyle w:val="Strong"/>
                <w:rFonts w:eastAsiaTheme="majorEastAsia"/>
                <w:b w:val="0"/>
                <w:bCs w:val="0"/>
                <w:sz w:val="22"/>
                <w:szCs w:val="22"/>
                <w:lang w:val="lt-LT"/>
              </w:rPr>
              <w:t>(</w:t>
            </w:r>
            <w:r w:rsidR="007B0B85" w:rsidRPr="007B0B85">
              <w:rPr>
                <w:rStyle w:val="Strong"/>
                <w:rFonts w:eastAsiaTheme="majorEastAsia"/>
                <w:b w:val="0"/>
                <w:bCs w:val="0"/>
                <w:sz w:val="22"/>
                <w:szCs w:val="22"/>
                <w:lang w:val="lt-LT"/>
              </w:rPr>
              <w:t xml:space="preserve">priėmimo–perdavimo aktas </w:t>
            </w:r>
            <w:r w:rsidR="00D944F8" w:rsidRPr="007B0B85">
              <w:rPr>
                <w:rStyle w:val="Strong"/>
                <w:rFonts w:eastAsiaTheme="majorEastAsia"/>
                <w:b w:val="0"/>
                <w:bCs w:val="0"/>
                <w:sz w:val="22"/>
                <w:szCs w:val="22"/>
                <w:lang w:val="lt-LT"/>
              </w:rPr>
              <w:t>Nr. 20</w:t>
            </w:r>
            <w:r w:rsidR="007B0B85" w:rsidRPr="007B0B85">
              <w:rPr>
                <w:rStyle w:val="Strong"/>
                <w:rFonts w:eastAsiaTheme="majorEastAsia"/>
                <w:b w:val="0"/>
                <w:bCs w:val="0"/>
                <w:sz w:val="22"/>
                <w:szCs w:val="22"/>
                <w:lang w:val="lt-LT"/>
              </w:rPr>
              <w:t>, 2024 m. lapkričio 6 d. sutartis</w:t>
            </w:r>
            <w:r w:rsidR="00D944F8" w:rsidRPr="007B0B85">
              <w:rPr>
                <w:rStyle w:val="Strong"/>
                <w:rFonts w:eastAsiaTheme="majorEastAsia"/>
                <w:b w:val="0"/>
                <w:bCs w:val="0"/>
                <w:sz w:val="22"/>
                <w:szCs w:val="22"/>
                <w:lang w:val="lt-LT"/>
              </w:rPr>
              <w:t xml:space="preserve"> 1SUT-500). KTAP sukurta </w:t>
            </w:r>
            <w:r w:rsidR="009D0AD9" w:rsidRPr="007B0B85">
              <w:rPr>
                <w:rStyle w:val="Strong"/>
                <w:rFonts w:eastAsiaTheme="majorEastAsia"/>
                <w:b w:val="0"/>
                <w:bCs w:val="0"/>
                <w:sz w:val="22"/>
                <w:szCs w:val="22"/>
                <w:lang w:val="lt-LT"/>
              </w:rPr>
              <w:t xml:space="preserve">500 taisyklių, įdiegtų </w:t>
            </w:r>
            <w:r w:rsidR="00D944F8" w:rsidRPr="007B0B85">
              <w:rPr>
                <w:rStyle w:val="Strong"/>
                <w:rFonts w:eastAsiaTheme="majorEastAsia"/>
                <w:b w:val="0"/>
                <w:bCs w:val="0"/>
                <w:sz w:val="22"/>
                <w:szCs w:val="22"/>
                <w:lang w:val="lt-LT"/>
              </w:rPr>
              <w:t>APAP</w:t>
            </w:r>
            <w:r w:rsidR="009D0AD9" w:rsidRPr="007B0B85">
              <w:rPr>
                <w:rStyle w:val="Strong"/>
                <w:rFonts w:eastAsiaTheme="majorEastAsia"/>
                <w:b w:val="0"/>
                <w:bCs w:val="0"/>
                <w:sz w:val="22"/>
                <w:szCs w:val="22"/>
                <w:lang w:val="lt-LT"/>
              </w:rPr>
              <w:t>, ir</w:t>
            </w:r>
            <w:r w:rsidR="00D944F8" w:rsidRPr="007B0B85">
              <w:rPr>
                <w:rStyle w:val="Strong"/>
                <w:rFonts w:eastAsiaTheme="majorEastAsia"/>
                <w:b w:val="0"/>
                <w:bCs w:val="0"/>
                <w:sz w:val="22"/>
                <w:szCs w:val="22"/>
                <w:lang w:val="lt-LT"/>
              </w:rPr>
              <w:t xml:space="preserve"> </w:t>
            </w:r>
            <w:r w:rsidR="009D0AD9" w:rsidRPr="007B0B85">
              <w:rPr>
                <w:rStyle w:val="Strong"/>
                <w:rFonts w:eastAsiaTheme="majorEastAsia"/>
                <w:b w:val="0"/>
                <w:bCs w:val="0"/>
                <w:sz w:val="22"/>
                <w:szCs w:val="22"/>
                <w:lang w:val="lt-LT"/>
              </w:rPr>
              <w:t>586 taisykl</w:t>
            </w:r>
            <w:r w:rsidR="004305C0" w:rsidRPr="007D1E34">
              <w:rPr>
                <w:rStyle w:val="Strong"/>
                <w:rFonts w:eastAsiaTheme="majorEastAsia"/>
                <w:b w:val="0"/>
                <w:sz w:val="22"/>
                <w:szCs w:val="22"/>
                <w:lang w:val="lt-LT"/>
              </w:rPr>
              <w:t>ės,</w:t>
            </w:r>
            <w:r w:rsidR="009D0AD9" w:rsidRPr="007B0B85">
              <w:rPr>
                <w:rStyle w:val="Strong"/>
                <w:rFonts w:eastAsiaTheme="majorEastAsia"/>
                <w:b w:val="0"/>
                <w:bCs w:val="0"/>
                <w:sz w:val="22"/>
                <w:szCs w:val="22"/>
                <w:lang w:val="lt-LT"/>
              </w:rPr>
              <w:t xml:space="preserve"> įdiegt</w:t>
            </w:r>
            <w:r w:rsidR="004305C0" w:rsidRPr="007D1E34">
              <w:rPr>
                <w:rStyle w:val="Strong"/>
                <w:rFonts w:eastAsiaTheme="majorEastAsia"/>
                <w:b w:val="0"/>
                <w:sz w:val="22"/>
                <w:szCs w:val="22"/>
                <w:lang w:val="lt-LT"/>
              </w:rPr>
              <w:t>os</w:t>
            </w:r>
            <w:r w:rsidR="009D0AD9" w:rsidRPr="007B0B85">
              <w:rPr>
                <w:rStyle w:val="Strong"/>
                <w:rFonts w:eastAsiaTheme="majorEastAsia"/>
                <w:b w:val="0"/>
                <w:bCs w:val="0"/>
                <w:sz w:val="22"/>
                <w:szCs w:val="22"/>
                <w:lang w:val="lt-LT"/>
              </w:rPr>
              <w:t xml:space="preserve"> </w:t>
            </w:r>
            <w:r w:rsidR="00D944F8" w:rsidRPr="007B0B85">
              <w:rPr>
                <w:rStyle w:val="Strong"/>
                <w:rFonts w:eastAsiaTheme="majorEastAsia"/>
                <w:b w:val="0"/>
                <w:bCs w:val="0"/>
                <w:sz w:val="22"/>
                <w:szCs w:val="22"/>
                <w:lang w:val="lt-LT"/>
              </w:rPr>
              <w:t>SPAP.</w:t>
            </w:r>
          </w:p>
        </w:tc>
        <w:tc>
          <w:tcPr>
            <w:tcW w:w="1242" w:type="dxa"/>
          </w:tcPr>
          <w:p w14:paraId="5CB7D5D4" w14:textId="77777777" w:rsidR="00936BBC" w:rsidRPr="00435E03" w:rsidRDefault="00936BBC">
            <w:pPr>
              <w:widowControl w:val="0"/>
              <w:jc w:val="both"/>
              <w:rPr>
                <w:snapToGrid w:val="0"/>
                <w:color w:val="000000" w:themeColor="text1"/>
                <w:sz w:val="22"/>
                <w:szCs w:val="22"/>
                <w:lang w:val="lt-LT"/>
              </w:rPr>
            </w:pPr>
          </w:p>
        </w:tc>
      </w:tr>
      <w:tr w:rsidR="00936BBC" w:rsidRPr="00435E03" w14:paraId="50A8DA88" w14:textId="77777777" w:rsidTr="00435E03">
        <w:trPr>
          <w:trHeight w:val="20"/>
        </w:trPr>
        <w:tc>
          <w:tcPr>
            <w:tcW w:w="3685" w:type="dxa"/>
          </w:tcPr>
          <w:p w14:paraId="0E3C8EE2" w14:textId="4D64D218" w:rsidR="00936BBC" w:rsidRPr="00435E03" w:rsidRDefault="00031EE9">
            <w:pPr>
              <w:jc w:val="both"/>
              <w:rPr>
                <w:color w:val="000000" w:themeColor="text1"/>
                <w:sz w:val="22"/>
                <w:szCs w:val="22"/>
                <w:lang w:val="lt-LT"/>
              </w:rPr>
            </w:pPr>
            <w:r>
              <w:rPr>
                <w:color w:val="000000" w:themeColor="text1"/>
                <w:sz w:val="22"/>
                <w:szCs w:val="22"/>
                <w:lang w:val="lt-LT"/>
              </w:rPr>
              <w:t>„</w:t>
            </w:r>
            <w:r w:rsidR="00936BBC" w:rsidRPr="00435E03">
              <w:rPr>
                <w:color w:val="000000" w:themeColor="text1"/>
                <w:sz w:val="22"/>
                <w:szCs w:val="22"/>
                <w:lang w:val="lt-LT"/>
              </w:rPr>
              <w:t xml:space="preserve">4.1.1.3. TLK specialistai netaiko administracinės atsakomybės ir </w:t>
            </w:r>
            <w:r w:rsidR="00936BBC" w:rsidRPr="00435E03">
              <w:rPr>
                <w:color w:val="000000" w:themeColor="text1"/>
                <w:sz w:val="22"/>
                <w:szCs w:val="22"/>
                <w:lang w:val="lt-LT"/>
              </w:rPr>
              <w:lastRenderedPageBreak/>
              <w:t>neskiria  įspėjimo, kai tam galimai egzistuoja visos sąlygos. Ūkio subjektui neskiriant net įspėjimo, yra itin apsunkinama galimybė kartotinės kontrolės procedūros metu skirti baudą, kadangi nebūtų nustatomas pakartotinis pažeidimas. Be to, ANK numatytos galimai per švelnios  finansinės nuobaudos, o dabartinė poveikio priemonių sistema neturi realaus ar bent pakankamai efektyvaus poveikio ūkio subjektams. Tokios situacijos kelia neteisėtų susitarimų riziką, gali būti sukuriamas ūkio subjektų „nebaudžiamumo“ jausmas (motyvai nurodyti 3.5. skyriuje).</w:t>
            </w:r>
            <w:r>
              <w:rPr>
                <w:color w:val="000000" w:themeColor="text1"/>
                <w:sz w:val="22"/>
                <w:szCs w:val="22"/>
                <w:lang w:val="lt-LT"/>
              </w:rPr>
              <w:t>“</w:t>
            </w:r>
          </w:p>
        </w:tc>
        <w:tc>
          <w:tcPr>
            <w:tcW w:w="3256" w:type="dxa"/>
          </w:tcPr>
          <w:p w14:paraId="44422807" w14:textId="62C8B3D8" w:rsidR="00936BBC" w:rsidRPr="00435E03" w:rsidRDefault="00031EE9">
            <w:pPr>
              <w:widowControl w:val="0"/>
              <w:jc w:val="both"/>
              <w:rPr>
                <w:color w:val="000000" w:themeColor="text1"/>
                <w:sz w:val="22"/>
                <w:szCs w:val="22"/>
                <w:lang w:val="lt-LT"/>
              </w:rPr>
            </w:pPr>
            <w:r>
              <w:rPr>
                <w:color w:val="000000" w:themeColor="text1"/>
                <w:sz w:val="22"/>
                <w:szCs w:val="22"/>
                <w:lang w:val="lt-LT"/>
              </w:rPr>
              <w:lastRenderedPageBreak/>
              <w:t>„</w:t>
            </w:r>
            <w:r w:rsidR="00936BBC" w:rsidRPr="00435E03">
              <w:rPr>
                <w:color w:val="000000" w:themeColor="text1"/>
                <w:sz w:val="22"/>
                <w:szCs w:val="22"/>
                <w:lang w:val="lt-LT"/>
              </w:rPr>
              <w:t xml:space="preserve">5.1.1.5. Keisti poveikio priemonių skyrimo praktiką ūkio </w:t>
            </w:r>
            <w:r w:rsidR="00936BBC" w:rsidRPr="00435E03">
              <w:rPr>
                <w:color w:val="000000" w:themeColor="text1"/>
                <w:sz w:val="22"/>
                <w:szCs w:val="22"/>
                <w:lang w:val="lt-LT"/>
              </w:rPr>
              <w:lastRenderedPageBreak/>
              <w:t>subjektų veiklos priežiūros ir kontrolės procese, ir esant tinkamoms sąlygoms, skirti ūkio subjektams administracinę atsakomybę (dėl kritinės antikorupcinės pastabos Nr. 4.1.1.3.).</w:t>
            </w:r>
          </w:p>
          <w:p w14:paraId="390669AA" w14:textId="26B98337" w:rsidR="00936BBC" w:rsidRPr="00435E03" w:rsidRDefault="00936BBC">
            <w:pPr>
              <w:jc w:val="both"/>
              <w:rPr>
                <w:color w:val="000000" w:themeColor="text1"/>
                <w:sz w:val="22"/>
                <w:szCs w:val="22"/>
                <w:lang w:val="lt-LT"/>
              </w:rPr>
            </w:pPr>
            <w:r w:rsidRPr="00435E03">
              <w:rPr>
                <w:color w:val="000000" w:themeColor="text1"/>
                <w:sz w:val="22"/>
                <w:szCs w:val="22"/>
                <w:lang w:val="lt-LT"/>
              </w:rPr>
              <w:t>5.1.1.6. Keisti praktiką ūkio subjektų veiklos priežiūros ir kontrolės procese, ir ūkio subjektams skirti realias finansines sankcijas (dėl kritinės antikorupcinės pastabos Nr. 4.1.1.3.).</w:t>
            </w:r>
            <w:r w:rsidR="009D0AD9">
              <w:rPr>
                <w:color w:val="000000" w:themeColor="text1"/>
                <w:sz w:val="22"/>
                <w:szCs w:val="22"/>
                <w:lang w:val="lt-LT"/>
              </w:rPr>
              <w:t>“</w:t>
            </w:r>
          </w:p>
        </w:tc>
        <w:tc>
          <w:tcPr>
            <w:tcW w:w="6554" w:type="dxa"/>
          </w:tcPr>
          <w:p w14:paraId="354357B5" w14:textId="49C2E021" w:rsidR="522C6F70" w:rsidRPr="00435E03" w:rsidRDefault="336B1186" w:rsidP="522C6F70">
            <w:pPr>
              <w:jc w:val="both"/>
              <w:rPr>
                <w:color w:val="000000" w:themeColor="text1"/>
                <w:sz w:val="22"/>
                <w:szCs w:val="22"/>
                <w:lang w:val="lt"/>
              </w:rPr>
            </w:pPr>
            <w:r w:rsidRPr="00435E03">
              <w:rPr>
                <w:sz w:val="22"/>
                <w:szCs w:val="22"/>
                <w:lang w:val="lt"/>
              </w:rPr>
              <w:lastRenderedPageBreak/>
              <w:t xml:space="preserve">5.1.1.5. </w:t>
            </w:r>
            <w:r w:rsidR="004F60AC">
              <w:rPr>
                <w:sz w:val="22"/>
                <w:szCs w:val="22"/>
                <w:lang w:val="lt"/>
              </w:rPr>
              <w:t>Atlikus kontrolės procedūras ir n</w:t>
            </w:r>
            <w:r w:rsidRPr="00435E03">
              <w:rPr>
                <w:sz w:val="22"/>
                <w:szCs w:val="22"/>
                <w:lang w:val="lt"/>
              </w:rPr>
              <w:t xml:space="preserve">ustačius pažeidimus, taikomos </w:t>
            </w:r>
            <w:r w:rsidR="003C4CA5" w:rsidRPr="003C4CA5">
              <w:rPr>
                <w:sz w:val="22"/>
                <w:szCs w:val="22"/>
                <w:lang w:val="lt"/>
              </w:rPr>
              <w:t xml:space="preserve">Lietuvos Respublikos administracinių nusižengimų kodekso </w:t>
            </w:r>
            <w:r w:rsidR="003C4CA5">
              <w:rPr>
                <w:sz w:val="22"/>
                <w:szCs w:val="22"/>
                <w:lang w:val="lt"/>
              </w:rPr>
              <w:t xml:space="preserve">(toliau – </w:t>
            </w:r>
            <w:r w:rsidRPr="00435E03">
              <w:rPr>
                <w:sz w:val="22"/>
                <w:szCs w:val="22"/>
                <w:lang w:val="lt"/>
              </w:rPr>
              <w:lastRenderedPageBreak/>
              <w:t>ANK</w:t>
            </w:r>
            <w:r w:rsidR="003C4CA5">
              <w:rPr>
                <w:sz w:val="22"/>
                <w:szCs w:val="22"/>
                <w:lang w:val="lt"/>
              </w:rPr>
              <w:t>)</w:t>
            </w:r>
            <w:r w:rsidRPr="00435E03">
              <w:rPr>
                <w:sz w:val="22"/>
                <w:szCs w:val="22"/>
                <w:lang w:val="lt"/>
              </w:rPr>
              <w:t xml:space="preserve"> numatytos sankcijos, o</w:t>
            </w:r>
            <w:r w:rsidR="003C4CA5">
              <w:rPr>
                <w:sz w:val="22"/>
                <w:szCs w:val="22"/>
                <w:lang w:val="lt"/>
              </w:rPr>
              <w:t>,</w:t>
            </w:r>
            <w:r w:rsidRPr="00435E03">
              <w:rPr>
                <w:sz w:val="22"/>
                <w:szCs w:val="22"/>
                <w:lang w:val="lt"/>
              </w:rPr>
              <w:t xml:space="preserve"> nustačius galimai </w:t>
            </w:r>
            <w:r w:rsidR="004F60AC">
              <w:rPr>
                <w:sz w:val="22"/>
                <w:szCs w:val="22"/>
                <w:lang w:val="lt"/>
              </w:rPr>
              <w:t xml:space="preserve">padarytos </w:t>
            </w:r>
            <w:r w:rsidRPr="00435E03">
              <w:rPr>
                <w:sz w:val="22"/>
                <w:szCs w:val="22"/>
                <w:lang w:val="lt"/>
              </w:rPr>
              <w:t xml:space="preserve">nusikalstamos veikos sudėtį, informacija </w:t>
            </w:r>
            <w:r w:rsidR="00D50771">
              <w:rPr>
                <w:sz w:val="22"/>
                <w:szCs w:val="22"/>
                <w:lang w:val="lt"/>
              </w:rPr>
              <w:t>apie tai</w:t>
            </w:r>
            <w:r w:rsidR="00D50771" w:rsidRPr="00435E03">
              <w:rPr>
                <w:sz w:val="22"/>
                <w:szCs w:val="22"/>
                <w:lang w:val="lt"/>
              </w:rPr>
              <w:t xml:space="preserve"> </w:t>
            </w:r>
            <w:r w:rsidRPr="00435E03">
              <w:rPr>
                <w:sz w:val="22"/>
                <w:szCs w:val="22"/>
                <w:lang w:val="lt"/>
              </w:rPr>
              <w:t xml:space="preserve">perduodama kompetentingoms institucijoms. </w:t>
            </w:r>
            <w:r w:rsidR="522C6F70" w:rsidRPr="00435E03">
              <w:rPr>
                <w:color w:val="000000" w:themeColor="text1"/>
                <w:sz w:val="22"/>
                <w:szCs w:val="22"/>
                <w:lang w:val="lt"/>
              </w:rPr>
              <w:t xml:space="preserve">Atsižvelgiant į </w:t>
            </w:r>
            <w:r w:rsidR="004F60AC">
              <w:rPr>
                <w:color w:val="000000" w:themeColor="text1"/>
                <w:sz w:val="22"/>
                <w:szCs w:val="22"/>
                <w:lang w:val="lt"/>
              </w:rPr>
              <w:t xml:space="preserve">Lietuvos Respublikos sveikatos draudimo įstatymo (toliau – SDĮ) </w:t>
            </w:r>
            <w:r w:rsidR="522C6F70" w:rsidRPr="00435E03">
              <w:rPr>
                <w:color w:val="000000" w:themeColor="text1"/>
                <w:sz w:val="22"/>
                <w:szCs w:val="22"/>
                <w:lang w:val="lt"/>
              </w:rPr>
              <w:t xml:space="preserve">pakeitimus, </w:t>
            </w:r>
            <w:r w:rsidR="00556F6F">
              <w:rPr>
                <w:color w:val="000000" w:themeColor="text1"/>
                <w:sz w:val="22"/>
                <w:szCs w:val="22"/>
                <w:lang w:val="lt"/>
              </w:rPr>
              <w:t>įsigaliojusius 2025 m. liepos 1 d.</w:t>
            </w:r>
            <w:r w:rsidR="522C6F70" w:rsidRPr="00435E03">
              <w:rPr>
                <w:color w:val="000000" w:themeColor="text1"/>
                <w:sz w:val="22"/>
                <w:szCs w:val="22"/>
                <w:lang w:val="lt"/>
              </w:rPr>
              <w:t xml:space="preserve">, </w:t>
            </w:r>
            <w:r w:rsidR="003C4CA5">
              <w:rPr>
                <w:color w:val="000000" w:themeColor="text1"/>
                <w:sz w:val="22"/>
                <w:szCs w:val="22"/>
                <w:lang w:val="lt"/>
              </w:rPr>
              <w:t xml:space="preserve">buvo </w:t>
            </w:r>
            <w:r w:rsidR="522C6F70" w:rsidRPr="00435E03">
              <w:rPr>
                <w:color w:val="000000" w:themeColor="text1"/>
                <w:sz w:val="22"/>
                <w:szCs w:val="22"/>
                <w:lang w:val="lt"/>
              </w:rPr>
              <w:t>peržiūrėt</w:t>
            </w:r>
            <w:r w:rsidR="003C4CA5">
              <w:rPr>
                <w:color w:val="000000" w:themeColor="text1"/>
                <w:sz w:val="22"/>
                <w:szCs w:val="22"/>
                <w:lang w:val="lt"/>
              </w:rPr>
              <w:t>os</w:t>
            </w:r>
            <w:r w:rsidR="522C6F70" w:rsidRPr="00435E03">
              <w:rPr>
                <w:color w:val="000000" w:themeColor="text1"/>
                <w:sz w:val="22"/>
                <w:szCs w:val="22"/>
                <w:lang w:val="lt"/>
              </w:rPr>
              <w:t xml:space="preserve"> Poveikio priemonių taikymo ūkio subjektams, sudariusiems sutartis su Valstybine ligonių kasa prie Sveikatos apsaugos ministerijos ar teritorinėmis ligonių kasomis, metodinės rekomendacijos</w:t>
            </w:r>
            <w:r w:rsidR="00556F6F">
              <w:rPr>
                <w:color w:val="000000" w:themeColor="text1"/>
                <w:sz w:val="22"/>
                <w:szCs w:val="22"/>
                <w:lang w:val="lt"/>
              </w:rPr>
              <w:t xml:space="preserve">, patvirtintos </w:t>
            </w:r>
            <w:r w:rsidR="522C6F70" w:rsidRPr="00435E03">
              <w:rPr>
                <w:color w:val="000000" w:themeColor="text1"/>
                <w:sz w:val="22"/>
                <w:szCs w:val="22"/>
                <w:lang w:val="lt"/>
              </w:rPr>
              <w:t>VLK direktoriaus 2023</w:t>
            </w:r>
            <w:r w:rsidR="00556F6F">
              <w:rPr>
                <w:color w:val="000000" w:themeColor="text1"/>
                <w:sz w:val="22"/>
                <w:szCs w:val="22"/>
                <w:lang w:val="lt"/>
              </w:rPr>
              <w:t xml:space="preserve"> m. lapkričio 16 d. </w:t>
            </w:r>
            <w:r w:rsidR="522C6F70" w:rsidRPr="00435E03">
              <w:rPr>
                <w:color w:val="000000" w:themeColor="text1"/>
                <w:sz w:val="22"/>
                <w:szCs w:val="22"/>
                <w:lang w:val="lt"/>
              </w:rPr>
              <w:t xml:space="preserve">įsakymu Nr. 1K-300 </w:t>
            </w:r>
            <w:r w:rsidR="00556F6F">
              <w:rPr>
                <w:color w:val="000000" w:themeColor="text1"/>
                <w:sz w:val="22"/>
                <w:szCs w:val="22"/>
                <w:lang w:val="lt"/>
              </w:rPr>
              <w:t>„Dėl</w:t>
            </w:r>
            <w:r w:rsidR="522C6F70" w:rsidRPr="00435E03" w:rsidDel="00556F6F">
              <w:rPr>
                <w:color w:val="000000" w:themeColor="text1"/>
                <w:sz w:val="22"/>
                <w:szCs w:val="22"/>
                <w:lang w:val="lt"/>
              </w:rPr>
              <w:t xml:space="preserve"> </w:t>
            </w:r>
            <w:r w:rsidR="522C6F70" w:rsidRPr="00435E03">
              <w:rPr>
                <w:color w:val="000000" w:themeColor="text1"/>
                <w:sz w:val="22"/>
                <w:szCs w:val="22"/>
                <w:lang w:val="lt"/>
              </w:rPr>
              <w:t xml:space="preserve">Poveikio priemonių taikymo ūkio subjektams, sudariusiems sutartis su Valstybine ligonių kasa prie Sveikatos apsaugos ministerijos ar teritorinėmis ligonių kasomis, </w:t>
            </w:r>
            <w:r w:rsidR="00556F6F" w:rsidRPr="00435E03">
              <w:rPr>
                <w:color w:val="000000" w:themeColor="text1"/>
                <w:sz w:val="22"/>
                <w:szCs w:val="22"/>
                <w:lang w:val="lt"/>
              </w:rPr>
              <w:t>metodin</w:t>
            </w:r>
            <w:r w:rsidR="00556F6F">
              <w:rPr>
                <w:color w:val="000000" w:themeColor="text1"/>
                <w:sz w:val="22"/>
                <w:szCs w:val="22"/>
                <w:lang w:val="lt"/>
              </w:rPr>
              <w:t>ių</w:t>
            </w:r>
            <w:r w:rsidR="522C6F70" w:rsidRPr="00435E03" w:rsidDel="00556F6F">
              <w:rPr>
                <w:color w:val="000000" w:themeColor="text1"/>
                <w:sz w:val="22"/>
                <w:szCs w:val="22"/>
                <w:lang w:val="lt"/>
              </w:rPr>
              <w:t xml:space="preserve"> </w:t>
            </w:r>
            <w:r w:rsidR="00556F6F" w:rsidRPr="00435E03">
              <w:rPr>
                <w:color w:val="000000" w:themeColor="text1"/>
                <w:sz w:val="22"/>
                <w:szCs w:val="22"/>
                <w:lang w:val="lt"/>
              </w:rPr>
              <w:t>rekomendacij</w:t>
            </w:r>
            <w:r w:rsidR="00556F6F">
              <w:rPr>
                <w:color w:val="000000" w:themeColor="text1"/>
                <w:sz w:val="22"/>
                <w:szCs w:val="22"/>
                <w:lang w:val="lt"/>
              </w:rPr>
              <w:t>ų patvirtinimo“</w:t>
            </w:r>
            <w:r w:rsidR="00D50771">
              <w:rPr>
                <w:color w:val="000000" w:themeColor="text1"/>
                <w:sz w:val="22"/>
                <w:szCs w:val="22"/>
                <w:lang w:val="lt"/>
              </w:rPr>
              <w:t>,</w:t>
            </w:r>
            <w:r w:rsidR="00556F6F" w:rsidRPr="00435E03">
              <w:rPr>
                <w:color w:val="000000" w:themeColor="text1"/>
                <w:sz w:val="22"/>
                <w:szCs w:val="22"/>
                <w:lang w:val="lt"/>
              </w:rPr>
              <w:t xml:space="preserve"> </w:t>
            </w:r>
            <w:r w:rsidR="522C6F70" w:rsidRPr="00556F6F">
              <w:rPr>
                <w:color w:val="000000" w:themeColor="text1"/>
                <w:sz w:val="22"/>
                <w:szCs w:val="22"/>
                <w:lang w:val="lt"/>
              </w:rPr>
              <w:t xml:space="preserve">ir </w:t>
            </w:r>
            <w:bookmarkStart w:id="1" w:name="_Hlk150336819"/>
            <w:r w:rsidR="00556F6F" w:rsidRPr="008A0301">
              <w:rPr>
                <w:sz w:val="22"/>
                <w:szCs w:val="22"/>
                <w:lang w:val="lt-LT"/>
              </w:rPr>
              <w:t xml:space="preserve">Valstybinės ligonių kasos prie Sveikatos apsaugos ministerijos ir teritorinių ligonių kasų  </w:t>
            </w:r>
            <w:bookmarkEnd w:id="1"/>
            <w:r w:rsidR="00556F6F" w:rsidRPr="008A0301">
              <w:rPr>
                <w:sz w:val="22"/>
                <w:szCs w:val="22"/>
                <w:lang w:val="lt-LT"/>
              </w:rPr>
              <w:t xml:space="preserve">administracinių nusižengimų bylų nagrinėjimo taisyklės, patvirtintos  </w:t>
            </w:r>
            <w:r w:rsidR="522C6F70" w:rsidRPr="00435E03">
              <w:rPr>
                <w:color w:val="000000" w:themeColor="text1"/>
                <w:sz w:val="22"/>
                <w:szCs w:val="22"/>
                <w:lang w:val="lt"/>
              </w:rPr>
              <w:t xml:space="preserve">VLK </w:t>
            </w:r>
            <w:r w:rsidR="522C6F70" w:rsidRPr="00EF15FC">
              <w:rPr>
                <w:color w:val="000000" w:themeColor="text1"/>
                <w:sz w:val="22"/>
                <w:szCs w:val="22"/>
                <w:lang w:val="lt"/>
              </w:rPr>
              <w:t>direktoriaus 2023</w:t>
            </w:r>
            <w:r w:rsidR="00556F6F" w:rsidRPr="00EF15FC">
              <w:rPr>
                <w:color w:val="000000" w:themeColor="text1"/>
                <w:sz w:val="22"/>
                <w:szCs w:val="22"/>
                <w:lang w:val="lt"/>
              </w:rPr>
              <w:t xml:space="preserve"> m. lapkričio 16 d.</w:t>
            </w:r>
            <w:r w:rsidR="522C6F70" w:rsidRPr="00EF15FC">
              <w:rPr>
                <w:color w:val="000000" w:themeColor="text1"/>
                <w:sz w:val="22"/>
                <w:szCs w:val="22"/>
                <w:lang w:val="lt"/>
              </w:rPr>
              <w:t xml:space="preserve"> </w:t>
            </w:r>
            <w:r w:rsidR="00556F6F" w:rsidRPr="00EF15FC">
              <w:rPr>
                <w:color w:val="000000" w:themeColor="text1"/>
                <w:sz w:val="22"/>
                <w:szCs w:val="22"/>
                <w:lang w:val="lt"/>
              </w:rPr>
              <w:t xml:space="preserve">įsakymu </w:t>
            </w:r>
            <w:r w:rsidR="522C6F70" w:rsidRPr="00EF15FC">
              <w:rPr>
                <w:color w:val="000000" w:themeColor="text1"/>
                <w:sz w:val="22"/>
                <w:szCs w:val="22"/>
                <w:lang w:val="lt"/>
              </w:rPr>
              <w:t>Nr. 1K-299</w:t>
            </w:r>
            <w:r w:rsidR="00556F6F" w:rsidRPr="00556F6F">
              <w:rPr>
                <w:color w:val="000000" w:themeColor="text1"/>
                <w:sz w:val="22"/>
                <w:szCs w:val="22"/>
                <w:lang w:val="lt"/>
              </w:rPr>
              <w:t xml:space="preserve"> „Dėl Valstybinės ligonių kasos prie Sveikatos apsaugos ministerijos ir teritorinių ligonių kasų administracinių nusižengimų bylų nagrinėjimo taisyklių patvirtinimo“</w:t>
            </w:r>
            <w:r w:rsidR="00D50771">
              <w:rPr>
                <w:color w:val="000000" w:themeColor="text1"/>
                <w:sz w:val="22"/>
                <w:szCs w:val="22"/>
                <w:lang w:val="lt"/>
              </w:rPr>
              <w:t>,</w:t>
            </w:r>
            <w:r w:rsidR="522C6F70" w:rsidRPr="00556F6F">
              <w:rPr>
                <w:color w:val="000000" w:themeColor="text1"/>
                <w:sz w:val="22"/>
                <w:szCs w:val="22"/>
                <w:lang w:val="lt"/>
              </w:rPr>
              <w:t xml:space="preserve"> </w:t>
            </w:r>
            <w:r w:rsidR="003C4CA5" w:rsidRPr="00556F6F">
              <w:rPr>
                <w:color w:val="000000" w:themeColor="text1"/>
                <w:sz w:val="22"/>
                <w:szCs w:val="22"/>
                <w:lang w:val="lt"/>
              </w:rPr>
              <w:t>bei</w:t>
            </w:r>
            <w:r w:rsidR="522C6F70" w:rsidRPr="00556F6F">
              <w:rPr>
                <w:color w:val="000000" w:themeColor="text1"/>
                <w:sz w:val="22"/>
                <w:szCs w:val="22"/>
                <w:lang w:val="lt"/>
              </w:rPr>
              <w:t xml:space="preserve"> atliekami šių teisė</w:t>
            </w:r>
            <w:r w:rsidR="003C4CA5" w:rsidRPr="00556F6F">
              <w:rPr>
                <w:color w:val="000000" w:themeColor="text1"/>
                <w:sz w:val="22"/>
                <w:szCs w:val="22"/>
                <w:lang w:val="lt"/>
              </w:rPr>
              <w:t>s</w:t>
            </w:r>
            <w:r w:rsidR="522C6F70" w:rsidRPr="00556F6F">
              <w:rPr>
                <w:color w:val="000000" w:themeColor="text1"/>
                <w:sz w:val="22"/>
                <w:szCs w:val="22"/>
                <w:lang w:val="lt"/>
              </w:rPr>
              <w:t xml:space="preserve"> aktų pakeitimai.</w:t>
            </w:r>
          </w:p>
          <w:p w14:paraId="142EFCB2" w14:textId="007249C7" w:rsidR="522C6F70" w:rsidRPr="00435E03" w:rsidRDefault="522C6F70" w:rsidP="000A2BFB">
            <w:pPr>
              <w:jc w:val="both"/>
              <w:rPr>
                <w:color w:val="000000" w:themeColor="text1"/>
                <w:sz w:val="22"/>
                <w:szCs w:val="22"/>
                <w:lang w:val="lt"/>
              </w:rPr>
            </w:pPr>
          </w:p>
          <w:p w14:paraId="040147C1" w14:textId="5C589581" w:rsidR="00345341" w:rsidRDefault="55CEA08A" w:rsidP="0F1A2CB5">
            <w:pPr>
              <w:jc w:val="both"/>
              <w:rPr>
                <w:color w:val="000000" w:themeColor="text1"/>
                <w:sz w:val="22"/>
                <w:szCs w:val="22"/>
                <w:lang w:val="lt"/>
              </w:rPr>
            </w:pPr>
            <w:r w:rsidRPr="00435E03">
              <w:rPr>
                <w:color w:val="000000" w:themeColor="text1"/>
                <w:sz w:val="22"/>
                <w:szCs w:val="22"/>
                <w:lang w:val="lt"/>
              </w:rPr>
              <w:t xml:space="preserve">5.1.1.6. </w:t>
            </w:r>
            <w:r w:rsidR="522C6F70" w:rsidRPr="00435E03">
              <w:rPr>
                <w:color w:val="000000" w:themeColor="text1"/>
                <w:sz w:val="22"/>
                <w:szCs w:val="22"/>
                <w:lang w:val="lt"/>
              </w:rPr>
              <w:t>Kontrolės procedūrų metu nustačius ANK nurodytus administracinio nusižengimo sudėties požymius</w:t>
            </w:r>
            <w:r w:rsidR="00D50771">
              <w:rPr>
                <w:color w:val="000000" w:themeColor="text1"/>
                <w:sz w:val="22"/>
                <w:szCs w:val="22"/>
                <w:lang w:val="lt"/>
              </w:rPr>
              <w:t>,</w:t>
            </w:r>
            <w:r w:rsidR="522C6F70" w:rsidRPr="00435E03">
              <w:rPr>
                <w:color w:val="000000" w:themeColor="text1"/>
                <w:sz w:val="22"/>
                <w:szCs w:val="22"/>
                <w:lang w:val="lt"/>
              </w:rPr>
              <w:t xml:space="preserve"> taikomos ANK nustatytos sankcijos. Tais atvejais, kai įtariama galima nusikalstama veika, ši informacija yra perduodama kompetentingai ikiteisminio tyrimo institucijai.</w:t>
            </w:r>
          </w:p>
          <w:p w14:paraId="2296544A" w14:textId="05FDDA0E" w:rsidR="522C6F70" w:rsidRPr="00EF15FC" w:rsidRDefault="004838A3" w:rsidP="0F1A2CB5">
            <w:pPr>
              <w:jc w:val="both"/>
              <w:rPr>
                <w:color w:val="000000" w:themeColor="text1"/>
                <w:sz w:val="22"/>
                <w:szCs w:val="22"/>
                <w:lang w:val="lt-LT"/>
              </w:rPr>
            </w:pPr>
            <w:r>
              <w:rPr>
                <w:color w:val="000000" w:themeColor="text1"/>
                <w:sz w:val="22"/>
                <w:szCs w:val="22"/>
                <w:lang w:val="lt"/>
              </w:rPr>
              <w:t>B</w:t>
            </w:r>
            <w:r w:rsidR="00D50771" w:rsidRPr="004838A3">
              <w:rPr>
                <w:color w:val="000000" w:themeColor="text1"/>
                <w:sz w:val="22"/>
                <w:szCs w:val="22"/>
                <w:lang w:val="lt"/>
              </w:rPr>
              <w:t>uvo</w:t>
            </w:r>
            <w:r w:rsidR="522C6F70" w:rsidRPr="004838A3">
              <w:rPr>
                <w:color w:val="000000" w:themeColor="text1"/>
                <w:sz w:val="22"/>
                <w:szCs w:val="22"/>
                <w:lang w:val="lt"/>
              </w:rPr>
              <w:t xml:space="preserve"> </w:t>
            </w:r>
            <w:r w:rsidR="00345341" w:rsidRPr="004838A3">
              <w:rPr>
                <w:color w:val="000000" w:themeColor="text1"/>
                <w:sz w:val="22"/>
                <w:szCs w:val="22"/>
                <w:lang w:val="lt"/>
              </w:rPr>
              <w:t>p</w:t>
            </w:r>
            <w:r w:rsidR="522C6F70" w:rsidRPr="004838A3">
              <w:rPr>
                <w:color w:val="000000" w:themeColor="text1"/>
                <w:sz w:val="22"/>
                <w:szCs w:val="22"/>
                <w:lang w:val="lt"/>
              </w:rPr>
              <w:t>arengt</w:t>
            </w:r>
            <w:r w:rsidR="003C4CA5" w:rsidRPr="004838A3">
              <w:rPr>
                <w:color w:val="000000" w:themeColor="text1"/>
                <w:sz w:val="22"/>
                <w:szCs w:val="22"/>
                <w:lang w:val="lt"/>
              </w:rPr>
              <w:t xml:space="preserve">as </w:t>
            </w:r>
            <w:r w:rsidR="007418AE" w:rsidRPr="004838A3">
              <w:rPr>
                <w:color w:val="000000" w:themeColor="text1"/>
                <w:sz w:val="22"/>
                <w:szCs w:val="22"/>
                <w:lang w:val="lt"/>
              </w:rPr>
              <w:t>Lietuvos Respublikos sveikatos draudimo įstatymo Nr. I-1343 31-1 straipsnio pakeitimo, įstatymo papildymo 30</w:t>
            </w:r>
            <w:r w:rsidR="007418AE" w:rsidRPr="00EF15FC">
              <w:rPr>
                <w:color w:val="000000" w:themeColor="text1"/>
                <w:sz w:val="22"/>
                <w:szCs w:val="22"/>
                <w:vertAlign w:val="superscript"/>
                <w:lang w:val="lt"/>
              </w:rPr>
              <w:t>1</w:t>
            </w:r>
            <w:r w:rsidR="007418AE" w:rsidRPr="004838A3">
              <w:rPr>
                <w:color w:val="000000" w:themeColor="text1"/>
                <w:sz w:val="22"/>
                <w:szCs w:val="22"/>
                <w:lang w:val="lt"/>
              </w:rPr>
              <w:t> ir 31</w:t>
            </w:r>
            <w:r w:rsidR="007418AE" w:rsidRPr="00EF15FC">
              <w:rPr>
                <w:color w:val="000000" w:themeColor="text1"/>
                <w:sz w:val="22"/>
                <w:szCs w:val="22"/>
                <w:vertAlign w:val="superscript"/>
                <w:lang w:val="lt"/>
              </w:rPr>
              <w:t>2</w:t>
            </w:r>
            <w:r w:rsidR="007418AE" w:rsidRPr="004838A3">
              <w:rPr>
                <w:color w:val="000000" w:themeColor="text1"/>
                <w:sz w:val="22"/>
                <w:szCs w:val="22"/>
                <w:lang w:val="lt"/>
              </w:rPr>
              <w:t xml:space="preserve"> straipsniais įstatymo projektas (reg. </w:t>
            </w:r>
            <w:r w:rsidR="008A0301" w:rsidRPr="004838A3">
              <w:rPr>
                <w:color w:val="000000" w:themeColor="text1"/>
                <w:sz w:val="22"/>
                <w:szCs w:val="22"/>
                <w:lang w:val="lt"/>
              </w:rPr>
              <w:t>Nr. 25-17412</w:t>
            </w:r>
            <w:r w:rsidR="007418AE" w:rsidRPr="00EF15FC">
              <w:rPr>
                <w:color w:val="000000" w:themeColor="text1"/>
                <w:sz w:val="22"/>
                <w:szCs w:val="22"/>
                <w:lang w:val="lt"/>
              </w:rPr>
              <w:t>)</w:t>
            </w:r>
            <w:r w:rsidR="003C4CA5" w:rsidRPr="004838A3">
              <w:rPr>
                <w:color w:val="000000" w:themeColor="text1"/>
                <w:sz w:val="22"/>
                <w:szCs w:val="22"/>
                <w:lang w:val="lt"/>
              </w:rPr>
              <w:t xml:space="preserve"> </w:t>
            </w:r>
            <w:r w:rsidR="00750AD0" w:rsidRPr="00EF15FC">
              <w:rPr>
                <w:color w:val="000000" w:themeColor="text1"/>
                <w:sz w:val="22"/>
                <w:szCs w:val="22"/>
                <w:lang w:val="lt"/>
              </w:rPr>
              <w:t xml:space="preserve">(toliau – SDĮ projektas) </w:t>
            </w:r>
            <w:r w:rsidR="522C6F70" w:rsidRPr="004838A3">
              <w:rPr>
                <w:color w:val="000000" w:themeColor="text1"/>
                <w:sz w:val="22"/>
                <w:szCs w:val="22"/>
                <w:lang w:val="lt"/>
              </w:rPr>
              <w:t>i</w:t>
            </w:r>
            <w:r w:rsidR="00D50771" w:rsidRPr="004838A3">
              <w:rPr>
                <w:color w:val="000000" w:themeColor="text1"/>
                <w:sz w:val="22"/>
                <w:szCs w:val="22"/>
                <w:lang w:val="lt"/>
              </w:rPr>
              <w:t>r</w:t>
            </w:r>
            <w:r w:rsidR="522C6F70" w:rsidRPr="004838A3">
              <w:rPr>
                <w:color w:val="000000" w:themeColor="text1"/>
                <w:sz w:val="22"/>
                <w:szCs w:val="22"/>
                <w:lang w:val="lt"/>
              </w:rPr>
              <w:t xml:space="preserve"> </w:t>
            </w:r>
            <w:hyperlink r:id="rId8" w:history="1">
              <w:r w:rsidR="007418AE" w:rsidRPr="00EF15FC">
                <w:rPr>
                  <w:sz w:val="22"/>
                  <w:szCs w:val="22"/>
                  <w:lang w:val="lt-LT"/>
                </w:rPr>
                <w:t>Lietuvos Respublikos administracinių nusižengimų kodekso 12, 54, 55, 57, 58, 59 ir 61 straipsnių pakeitimo įstatymo projektas</w:t>
              </w:r>
            </w:hyperlink>
            <w:r w:rsidR="007418AE" w:rsidRPr="00EF15FC">
              <w:rPr>
                <w:color w:val="000000" w:themeColor="text1"/>
                <w:sz w:val="22"/>
                <w:szCs w:val="22"/>
                <w:lang w:val="lt-LT"/>
              </w:rPr>
              <w:t xml:space="preserve"> (reg. N</w:t>
            </w:r>
            <w:r w:rsidR="008A0301" w:rsidRPr="00EF15FC">
              <w:rPr>
                <w:color w:val="000000" w:themeColor="text1"/>
                <w:sz w:val="22"/>
                <w:szCs w:val="22"/>
                <w:lang w:val="lt-LT"/>
              </w:rPr>
              <w:t>r. 25-17413</w:t>
            </w:r>
            <w:r w:rsidR="00750AD0" w:rsidRPr="00EF15FC">
              <w:rPr>
                <w:color w:val="000000" w:themeColor="text1"/>
                <w:sz w:val="22"/>
                <w:szCs w:val="22"/>
                <w:lang w:val="lt-LT"/>
              </w:rPr>
              <w:t xml:space="preserve">) </w:t>
            </w:r>
            <w:r w:rsidR="008A0301" w:rsidRPr="00EF15FC">
              <w:rPr>
                <w:color w:val="000000" w:themeColor="text1"/>
                <w:sz w:val="22"/>
                <w:szCs w:val="22"/>
                <w:lang w:val="lt-LT"/>
              </w:rPr>
              <w:t>(</w:t>
            </w:r>
            <w:r w:rsidR="00750AD0" w:rsidRPr="00EF15FC">
              <w:rPr>
                <w:color w:val="000000" w:themeColor="text1"/>
                <w:sz w:val="22"/>
                <w:szCs w:val="22"/>
                <w:lang w:val="lt-LT"/>
              </w:rPr>
              <w:t>toliau – ANK projektas). SDĮ projektu numatoma nustatyti kontrolinių patikrinimų tvarką ir suteikti VLK teisę atlikti šiuos patikrinimus, taip pat šiuo projektu numatoma nustatyti finansines sankcijas už teisės aktų pažeidimus.</w:t>
            </w:r>
            <w:r w:rsidR="00750AD0" w:rsidRPr="00EF15FC">
              <w:rPr>
                <w:color w:val="000000" w:themeColor="text1"/>
                <w:sz w:val="22"/>
                <w:szCs w:val="22"/>
                <w:highlight w:val="lightGray"/>
                <w:lang w:val="lt-LT"/>
              </w:rPr>
              <w:t xml:space="preserve"> </w:t>
            </w:r>
            <w:r w:rsidR="00750AD0" w:rsidRPr="00B0692F">
              <w:rPr>
                <w:color w:val="000000" w:themeColor="text1"/>
                <w:sz w:val="22"/>
                <w:szCs w:val="22"/>
                <w:lang w:val="lt-LT"/>
              </w:rPr>
              <w:t>ANK projektu numatoma</w:t>
            </w:r>
          </w:p>
          <w:p w14:paraId="1A9F72E3" w14:textId="4E0EEDD3" w:rsidR="00750AD0" w:rsidRDefault="00D7513D" w:rsidP="0F1A2CB5">
            <w:pPr>
              <w:jc w:val="both"/>
              <w:rPr>
                <w:color w:val="000000" w:themeColor="text1"/>
                <w:sz w:val="22"/>
                <w:szCs w:val="22"/>
                <w:lang w:val="lt"/>
              </w:rPr>
            </w:pPr>
            <w:r w:rsidRPr="00EF15FC">
              <w:rPr>
                <w:color w:val="000000" w:themeColor="text1"/>
                <w:sz w:val="22"/>
                <w:szCs w:val="22"/>
                <w:lang w:val="lt-LT"/>
              </w:rPr>
              <w:lastRenderedPageBreak/>
              <w:t>griežtinti ASPĮ, vaistinių ir kitų ūkio subjektų atsakomybę už ANK 12, 54, 55, 57, 58, 59 ir 61 straipsniuose nurodytus nusižengimus, taip pat įteisinti naujas poveikio priemones, kurios turėtų realų, juntamą ir atgrasantį poveikį (pinigines baudas, draudimą ta</w:t>
            </w:r>
            <w:r w:rsidRPr="00EF15FC">
              <w:rPr>
                <w:color w:val="000000" w:themeColor="text1"/>
                <w:sz w:val="22"/>
                <w:szCs w:val="22"/>
                <w:lang w:val="lt"/>
              </w:rPr>
              <w:t>m tikrą laiką sudaryti naują sutartį, jeigu ankstesnė sutartis buvo nutraukta dėl teisės aktų pažeidimų)</w:t>
            </w:r>
            <w:r>
              <w:rPr>
                <w:color w:val="000000" w:themeColor="text1"/>
                <w:sz w:val="22"/>
                <w:szCs w:val="22"/>
                <w:lang w:val="lt"/>
              </w:rPr>
              <w:t>,</w:t>
            </w:r>
            <w:r w:rsidRPr="00EF15FC">
              <w:rPr>
                <w:color w:val="000000" w:themeColor="text1"/>
                <w:sz w:val="22"/>
                <w:szCs w:val="22"/>
                <w:lang w:val="lt"/>
              </w:rPr>
              <w:t xml:space="preserve"> ir atsakomybės neišvengiamumą.</w:t>
            </w:r>
          </w:p>
          <w:p w14:paraId="2130B0A4" w14:textId="77777777" w:rsidR="00D7513D" w:rsidRDefault="00D7513D" w:rsidP="0F1A2CB5">
            <w:pPr>
              <w:jc w:val="both"/>
              <w:rPr>
                <w:color w:val="000000" w:themeColor="text1"/>
                <w:sz w:val="22"/>
                <w:szCs w:val="22"/>
                <w:lang w:val="lt"/>
              </w:rPr>
            </w:pPr>
          </w:p>
          <w:p w14:paraId="219F1D96" w14:textId="534F4312" w:rsidR="522C6F70" w:rsidRPr="00435E03" w:rsidRDefault="00D7513D" w:rsidP="0F1A2CB5">
            <w:pPr>
              <w:jc w:val="both"/>
              <w:rPr>
                <w:color w:val="000000" w:themeColor="text1"/>
                <w:sz w:val="22"/>
                <w:szCs w:val="22"/>
                <w:lang w:val="lt"/>
              </w:rPr>
            </w:pPr>
            <w:r>
              <w:rPr>
                <w:color w:val="000000" w:themeColor="text1"/>
                <w:sz w:val="22"/>
                <w:szCs w:val="22"/>
                <w:lang w:val="lt"/>
              </w:rPr>
              <w:t xml:space="preserve">Viena iš priemonių, numatytų </w:t>
            </w:r>
            <w:r w:rsidR="00C24BA6" w:rsidRPr="008A0301">
              <w:rPr>
                <w:color w:val="000000" w:themeColor="text1"/>
                <w:sz w:val="22"/>
                <w:szCs w:val="22"/>
                <w:lang w:val="lt"/>
              </w:rPr>
              <w:t xml:space="preserve">2025 m. kovo 28 d. Lietuvos Respublikos specialiųjų tyrimų tarnybai </w:t>
            </w:r>
            <w:r>
              <w:rPr>
                <w:color w:val="000000" w:themeColor="text1"/>
                <w:sz w:val="22"/>
                <w:szCs w:val="22"/>
                <w:lang w:val="lt"/>
              </w:rPr>
              <w:t xml:space="preserve">išsiųstoje </w:t>
            </w:r>
            <w:r w:rsidR="00C24BA6" w:rsidRPr="008A0301">
              <w:rPr>
                <w:color w:val="000000" w:themeColor="text1"/>
                <w:sz w:val="22"/>
                <w:szCs w:val="22"/>
                <w:lang w:val="lt"/>
              </w:rPr>
              <w:t>Pateiktų pasiūlymų įgyvendinimo lentelėje</w:t>
            </w:r>
            <w:r>
              <w:rPr>
                <w:color w:val="000000" w:themeColor="text1"/>
                <w:sz w:val="22"/>
                <w:szCs w:val="22"/>
                <w:lang w:val="lt"/>
              </w:rPr>
              <w:t>, –</w:t>
            </w:r>
            <w:r w:rsidR="522C6F70" w:rsidRPr="00435E03">
              <w:rPr>
                <w:color w:val="000000" w:themeColor="text1"/>
                <w:sz w:val="22"/>
                <w:szCs w:val="22"/>
                <w:lang w:val="lt"/>
              </w:rPr>
              <w:t xml:space="preserve"> taikyti administracinę atsakomybę supaprastintų neatitikčių vertinimo procedūrų metu </w:t>
            </w:r>
            <w:r w:rsidR="003C4CA5">
              <w:rPr>
                <w:color w:val="000000" w:themeColor="text1"/>
                <w:sz w:val="22"/>
                <w:szCs w:val="22"/>
                <w:lang w:val="lt"/>
              </w:rPr>
              <w:t xml:space="preserve">– </w:t>
            </w:r>
            <w:r w:rsidR="522C6F70" w:rsidRPr="00435E03">
              <w:rPr>
                <w:color w:val="000000" w:themeColor="text1"/>
                <w:sz w:val="22"/>
                <w:szCs w:val="22"/>
                <w:lang w:val="lt"/>
              </w:rPr>
              <w:t>negali būti įgyvendinta. Pažymėtina, kad supaprastintų kontrolės procedūrų paskirtis – su</w:t>
            </w:r>
            <w:r>
              <w:rPr>
                <w:color w:val="000000" w:themeColor="text1"/>
                <w:sz w:val="22"/>
                <w:szCs w:val="22"/>
                <w:lang w:val="lt"/>
              </w:rPr>
              <w:t>teikti</w:t>
            </w:r>
            <w:r w:rsidR="522C6F70" w:rsidRPr="00435E03">
              <w:rPr>
                <w:color w:val="000000" w:themeColor="text1"/>
                <w:sz w:val="22"/>
                <w:szCs w:val="22"/>
                <w:lang w:val="lt"/>
              </w:rPr>
              <w:t xml:space="preserve"> </w:t>
            </w:r>
            <w:r w:rsidR="003C4CA5">
              <w:rPr>
                <w:color w:val="000000" w:themeColor="text1"/>
                <w:sz w:val="22"/>
                <w:szCs w:val="22"/>
                <w:lang w:val="lt"/>
              </w:rPr>
              <w:t>ASPĮ</w:t>
            </w:r>
            <w:r w:rsidR="522C6F70" w:rsidRPr="00435E03">
              <w:rPr>
                <w:color w:val="000000" w:themeColor="text1"/>
                <w:sz w:val="22"/>
                <w:szCs w:val="22"/>
                <w:lang w:val="lt"/>
              </w:rPr>
              <w:t xml:space="preserve"> ar įmonei galimybę, neatliekant veiklos patikrinimo, savanoriškai grąžinti neteisėtai panaudotas P</w:t>
            </w:r>
            <w:r w:rsidR="003C4CA5">
              <w:rPr>
                <w:color w:val="000000" w:themeColor="text1"/>
                <w:sz w:val="22"/>
                <w:szCs w:val="22"/>
                <w:lang w:val="lt"/>
              </w:rPr>
              <w:t>rivalomojo sveikatos draudimo fondo (toliau – P</w:t>
            </w:r>
            <w:r w:rsidR="522C6F70" w:rsidRPr="00435E03">
              <w:rPr>
                <w:color w:val="000000" w:themeColor="text1"/>
                <w:sz w:val="22"/>
                <w:szCs w:val="22"/>
                <w:lang w:val="lt"/>
              </w:rPr>
              <w:t>SDF</w:t>
            </w:r>
            <w:r w:rsidR="003C4CA5">
              <w:rPr>
                <w:color w:val="000000" w:themeColor="text1"/>
                <w:sz w:val="22"/>
                <w:szCs w:val="22"/>
                <w:lang w:val="lt"/>
              </w:rPr>
              <w:t>) biudžeto</w:t>
            </w:r>
            <w:r w:rsidR="522C6F70" w:rsidRPr="00435E03">
              <w:rPr>
                <w:color w:val="000000" w:themeColor="text1"/>
                <w:sz w:val="22"/>
                <w:szCs w:val="22"/>
                <w:lang w:val="lt"/>
              </w:rPr>
              <w:t xml:space="preserve"> lėšas. Tokia procedūra savo esme priskirtina konsultavimo ir stebėsenos priemonėms, o ne sankcijų taikymo mechanizmui, todėl administracinės atsakomybės taikymas šiuo atveju būtų nepagrįstas. </w:t>
            </w:r>
          </w:p>
          <w:p w14:paraId="42E23F30" w14:textId="77C10506" w:rsidR="522C6F70" w:rsidRPr="00435E03" w:rsidRDefault="522C6F70" w:rsidP="522C6F70">
            <w:pPr>
              <w:jc w:val="both"/>
              <w:rPr>
                <w:color w:val="000000" w:themeColor="text1"/>
                <w:sz w:val="22"/>
                <w:szCs w:val="22"/>
                <w:lang w:val="lt"/>
              </w:rPr>
            </w:pPr>
            <w:r w:rsidRPr="00435E03">
              <w:rPr>
                <w:color w:val="000000" w:themeColor="text1"/>
                <w:sz w:val="22"/>
                <w:szCs w:val="22"/>
                <w:lang w:val="lt"/>
              </w:rPr>
              <w:t xml:space="preserve">Be to, ši procedūra yra orientuota į klaidų ištaisymą ir savanorišką neteisėtai panaudotų lėšų grąžinimą, todėl administracinės atsakomybės taikymas prieštarautų šiam tikslui. </w:t>
            </w:r>
          </w:p>
          <w:p w14:paraId="7DD1743E" w14:textId="128A12C9" w:rsidR="522C6F70" w:rsidRPr="00435E03" w:rsidRDefault="522C6F70" w:rsidP="522C6F70">
            <w:pPr>
              <w:jc w:val="both"/>
              <w:rPr>
                <w:color w:val="000000" w:themeColor="text1"/>
                <w:sz w:val="22"/>
                <w:szCs w:val="22"/>
                <w:lang w:val="lt"/>
              </w:rPr>
            </w:pPr>
            <w:r w:rsidRPr="00435E03">
              <w:rPr>
                <w:color w:val="000000" w:themeColor="text1"/>
                <w:sz w:val="22"/>
                <w:szCs w:val="22"/>
                <w:lang w:val="lt"/>
              </w:rPr>
              <w:t>Atkreiptinas dėmesys</w:t>
            </w:r>
            <w:r w:rsidR="00463DBD">
              <w:rPr>
                <w:color w:val="000000" w:themeColor="text1"/>
                <w:sz w:val="22"/>
                <w:szCs w:val="22"/>
                <w:lang w:val="lt"/>
              </w:rPr>
              <w:t xml:space="preserve"> </w:t>
            </w:r>
            <w:r w:rsidR="004838A3">
              <w:rPr>
                <w:color w:val="000000" w:themeColor="text1"/>
                <w:sz w:val="22"/>
                <w:szCs w:val="22"/>
                <w:lang w:val="lt"/>
              </w:rPr>
              <w:t xml:space="preserve">ir </w:t>
            </w:r>
            <w:r w:rsidR="00463DBD">
              <w:rPr>
                <w:color w:val="000000" w:themeColor="text1"/>
                <w:sz w:val="22"/>
                <w:szCs w:val="22"/>
                <w:lang w:val="lt"/>
              </w:rPr>
              <w:t>į tai</w:t>
            </w:r>
            <w:r w:rsidRPr="00435E03">
              <w:rPr>
                <w:color w:val="000000" w:themeColor="text1"/>
                <w:sz w:val="22"/>
                <w:szCs w:val="22"/>
                <w:lang w:val="lt"/>
              </w:rPr>
              <w:t xml:space="preserve">, kad atliekant supaprastintiną kontrolės procedūrą įstaigos ar įmonės atžvilgiu nėra priimamas </w:t>
            </w:r>
            <w:r w:rsidR="00D7513D">
              <w:rPr>
                <w:color w:val="000000" w:themeColor="text1"/>
                <w:sz w:val="22"/>
                <w:szCs w:val="22"/>
                <w:lang w:val="lt"/>
              </w:rPr>
              <w:t xml:space="preserve">VLK </w:t>
            </w:r>
            <w:r w:rsidRPr="00435E03">
              <w:rPr>
                <w:color w:val="000000" w:themeColor="text1"/>
                <w:sz w:val="22"/>
                <w:szCs w:val="22"/>
                <w:lang w:val="lt"/>
              </w:rPr>
              <w:t xml:space="preserve">direktoriaus sprendimas, poveikio priemonė pagal SDĮ – įpareigojimas grąžinti žalą PSDF biudžetui </w:t>
            </w:r>
            <w:r w:rsidR="00463DBD">
              <w:rPr>
                <w:color w:val="000000" w:themeColor="text1"/>
                <w:sz w:val="22"/>
                <w:szCs w:val="22"/>
                <w:lang w:val="lt"/>
              </w:rPr>
              <w:t xml:space="preserve">– </w:t>
            </w:r>
            <w:r w:rsidRPr="00435E03">
              <w:rPr>
                <w:color w:val="000000" w:themeColor="text1"/>
                <w:sz w:val="22"/>
                <w:szCs w:val="22"/>
                <w:lang w:val="lt"/>
              </w:rPr>
              <w:t xml:space="preserve">nėra taikoma. </w:t>
            </w:r>
            <w:r w:rsidR="004838A3">
              <w:rPr>
                <w:color w:val="000000" w:themeColor="text1"/>
                <w:sz w:val="22"/>
                <w:szCs w:val="22"/>
                <w:lang w:val="lt"/>
              </w:rPr>
              <w:t>N</w:t>
            </w:r>
            <w:r w:rsidRPr="00435E03">
              <w:rPr>
                <w:color w:val="000000" w:themeColor="text1"/>
                <w:sz w:val="22"/>
                <w:szCs w:val="22"/>
                <w:lang w:val="lt"/>
              </w:rPr>
              <w:t xml:space="preserve">esant direktoriaus sprendimo </w:t>
            </w:r>
            <w:r w:rsidR="00D7513D">
              <w:rPr>
                <w:color w:val="000000" w:themeColor="text1"/>
                <w:sz w:val="22"/>
                <w:szCs w:val="22"/>
                <w:lang w:val="lt"/>
              </w:rPr>
              <w:t>(</w:t>
            </w:r>
            <w:r w:rsidRPr="00435E03">
              <w:rPr>
                <w:color w:val="000000" w:themeColor="text1"/>
                <w:sz w:val="22"/>
                <w:szCs w:val="22"/>
                <w:lang w:val="lt"/>
              </w:rPr>
              <w:t>privalomumo</w:t>
            </w:r>
            <w:r w:rsidR="00D7513D">
              <w:rPr>
                <w:color w:val="000000" w:themeColor="text1"/>
                <w:sz w:val="22"/>
                <w:szCs w:val="22"/>
                <w:lang w:val="lt"/>
              </w:rPr>
              <w:t>)</w:t>
            </w:r>
            <w:r w:rsidRPr="00435E03">
              <w:rPr>
                <w:color w:val="000000" w:themeColor="text1"/>
                <w:sz w:val="22"/>
                <w:szCs w:val="22"/>
                <w:lang w:val="lt"/>
              </w:rPr>
              <w:t xml:space="preserve"> atlyginti žalą PSDF biudžetui</w:t>
            </w:r>
            <w:r w:rsidR="004838A3">
              <w:rPr>
                <w:color w:val="000000" w:themeColor="text1"/>
                <w:sz w:val="22"/>
                <w:szCs w:val="22"/>
                <w:lang w:val="lt"/>
              </w:rPr>
              <w:t>,</w:t>
            </w:r>
            <w:r w:rsidRPr="00435E03">
              <w:rPr>
                <w:color w:val="000000" w:themeColor="text1"/>
                <w:sz w:val="22"/>
                <w:szCs w:val="22"/>
                <w:lang w:val="lt"/>
              </w:rPr>
              <w:t xml:space="preserve"> administracinės atsakomybės taikymas būtų ginčytinas.</w:t>
            </w:r>
          </w:p>
          <w:p w14:paraId="62FA4334" w14:textId="5A021030" w:rsidR="00AA3369" w:rsidRPr="00435E03" w:rsidRDefault="00AA3369" w:rsidP="00AA3369">
            <w:pPr>
              <w:rPr>
                <w:sz w:val="22"/>
                <w:szCs w:val="22"/>
                <w:lang w:val="lt"/>
              </w:rPr>
            </w:pPr>
          </w:p>
        </w:tc>
        <w:tc>
          <w:tcPr>
            <w:tcW w:w="1242" w:type="dxa"/>
          </w:tcPr>
          <w:p w14:paraId="3C8836BE" w14:textId="77777777" w:rsidR="00936BBC" w:rsidRPr="00435E03" w:rsidRDefault="00936BBC">
            <w:pPr>
              <w:rPr>
                <w:sz w:val="22"/>
                <w:szCs w:val="22"/>
                <w:lang w:val="lt-LT"/>
              </w:rPr>
            </w:pPr>
          </w:p>
        </w:tc>
      </w:tr>
      <w:tr w:rsidR="00936BBC" w:rsidRPr="00435E03" w14:paraId="147B84DE" w14:textId="77777777" w:rsidTr="00EF15FC">
        <w:trPr>
          <w:trHeight w:val="3504"/>
        </w:trPr>
        <w:tc>
          <w:tcPr>
            <w:tcW w:w="3685" w:type="dxa"/>
          </w:tcPr>
          <w:p w14:paraId="78D4867E" w14:textId="52AD1DC1" w:rsidR="00936BBC" w:rsidRPr="00435E03" w:rsidRDefault="00031EE9">
            <w:pPr>
              <w:jc w:val="both"/>
              <w:rPr>
                <w:color w:val="000000" w:themeColor="text1"/>
                <w:sz w:val="22"/>
                <w:szCs w:val="22"/>
                <w:lang w:val="lt-LT"/>
              </w:rPr>
            </w:pPr>
            <w:r>
              <w:rPr>
                <w:color w:val="000000" w:themeColor="text1"/>
                <w:sz w:val="22"/>
                <w:szCs w:val="22"/>
                <w:lang w:val="lt-LT"/>
              </w:rPr>
              <w:lastRenderedPageBreak/>
              <w:t>„</w:t>
            </w:r>
            <w:r w:rsidR="00936BBC" w:rsidRPr="00435E03">
              <w:rPr>
                <w:color w:val="000000" w:themeColor="text1"/>
                <w:sz w:val="22"/>
                <w:szCs w:val="22"/>
                <w:lang w:val="lt-LT"/>
              </w:rPr>
              <w:t>4.1.1.4. Teisiniame reglamentavime ir praktikiniame jo taikyme nėra aiškios kontrolės procedūras atliekančių specialistų rotacijos. Tokia reglamentavimo stoka prisideda prie atvejų, kuomet tą patį ūkio subjektą tikrina tie patys darbuotojai, o tai gali sukelti neteisėtų susitarimų ir neobjektyvių sprendimų rizikas (motyvai nurodyti 3.6. skyriuje).</w:t>
            </w:r>
            <w:r>
              <w:rPr>
                <w:color w:val="000000" w:themeColor="text1"/>
                <w:sz w:val="22"/>
                <w:szCs w:val="22"/>
                <w:lang w:val="lt-LT"/>
              </w:rPr>
              <w:t>“</w:t>
            </w:r>
          </w:p>
        </w:tc>
        <w:tc>
          <w:tcPr>
            <w:tcW w:w="3256" w:type="dxa"/>
          </w:tcPr>
          <w:p w14:paraId="0C388FFB" w14:textId="4A4C6A29" w:rsidR="00936BBC" w:rsidRPr="00435E03" w:rsidRDefault="00031EE9">
            <w:pPr>
              <w:jc w:val="both"/>
              <w:rPr>
                <w:color w:val="000000" w:themeColor="text1"/>
                <w:sz w:val="22"/>
                <w:szCs w:val="22"/>
                <w:lang w:val="lt-LT"/>
              </w:rPr>
            </w:pPr>
            <w:r>
              <w:rPr>
                <w:bCs/>
                <w:color w:val="000000" w:themeColor="text1"/>
                <w:sz w:val="22"/>
                <w:szCs w:val="22"/>
                <w:lang w:val="lt-LT"/>
              </w:rPr>
              <w:t>„</w:t>
            </w:r>
            <w:r w:rsidR="00936BBC" w:rsidRPr="00435E03">
              <w:rPr>
                <w:bCs/>
                <w:color w:val="000000" w:themeColor="text1"/>
                <w:sz w:val="22"/>
                <w:szCs w:val="22"/>
                <w:lang w:val="lt-LT"/>
              </w:rPr>
              <w:t xml:space="preserve">5.1.1.7. Teisiniame reglamentavime, atsižvelgiant turimas žmogiškųjų išteklių galimybes (pavyzdžiui, numatant išimtis), įtvirtinti vidinę TLK darbuotojų rotacijos procedūrą, pagal kurią būtų aiškiai apibrėžti atvejai ar nurodytas minimalus intervalas tarp tų pačių darbuotojų dalyvavimo to paties ūkio subjekto kontrolės procedūroje </w:t>
            </w:r>
            <w:r w:rsidR="00936BBC" w:rsidRPr="00435E03">
              <w:rPr>
                <w:color w:val="000000" w:themeColor="text1"/>
                <w:sz w:val="22"/>
                <w:szCs w:val="22"/>
                <w:lang w:val="lt-LT"/>
              </w:rPr>
              <w:t>(dėl kritinės antikorupcinės pastabos Nr. 4.1.1.4.)</w:t>
            </w:r>
            <w:r w:rsidR="00936BBC" w:rsidRPr="00435E03">
              <w:rPr>
                <w:bCs/>
                <w:color w:val="000000" w:themeColor="text1"/>
                <w:sz w:val="22"/>
                <w:szCs w:val="22"/>
                <w:lang w:val="lt-LT"/>
              </w:rPr>
              <w:t>.</w:t>
            </w:r>
            <w:r>
              <w:rPr>
                <w:bCs/>
                <w:color w:val="000000" w:themeColor="text1"/>
                <w:sz w:val="22"/>
                <w:szCs w:val="22"/>
                <w:lang w:val="lt-LT"/>
              </w:rPr>
              <w:t>“</w:t>
            </w:r>
          </w:p>
          <w:p w14:paraId="70F83B90" w14:textId="77777777" w:rsidR="00936BBC" w:rsidRPr="00435E03" w:rsidRDefault="00936BBC">
            <w:pPr>
              <w:spacing w:line="360" w:lineRule="auto"/>
              <w:ind w:firstLine="851"/>
              <w:jc w:val="both"/>
              <w:rPr>
                <w:snapToGrid w:val="0"/>
                <w:color w:val="000000" w:themeColor="text1"/>
                <w:sz w:val="22"/>
                <w:szCs w:val="22"/>
                <w:lang w:val="lt-LT"/>
              </w:rPr>
            </w:pPr>
          </w:p>
        </w:tc>
        <w:tc>
          <w:tcPr>
            <w:tcW w:w="6554" w:type="dxa"/>
          </w:tcPr>
          <w:p w14:paraId="7E120A08" w14:textId="417F9CD3" w:rsidR="00936BBC" w:rsidRPr="00435E03" w:rsidRDefault="00463DBD">
            <w:pPr>
              <w:widowControl w:val="0"/>
              <w:jc w:val="both"/>
              <w:rPr>
                <w:color w:val="000000" w:themeColor="text1"/>
                <w:sz w:val="22"/>
                <w:szCs w:val="22"/>
                <w:lang w:val="lt-LT"/>
              </w:rPr>
            </w:pPr>
            <w:r>
              <w:rPr>
                <w:snapToGrid w:val="0"/>
                <w:color w:val="000000" w:themeColor="text1"/>
                <w:sz w:val="22"/>
                <w:szCs w:val="22"/>
                <w:lang w:val="lt-LT"/>
              </w:rPr>
              <w:t>Po</w:t>
            </w:r>
            <w:r w:rsidR="00936BBC" w:rsidRPr="00435E03">
              <w:rPr>
                <w:snapToGrid w:val="0"/>
                <w:color w:val="000000" w:themeColor="text1"/>
                <w:sz w:val="22"/>
                <w:szCs w:val="22"/>
                <w:lang w:val="lt-LT"/>
              </w:rPr>
              <w:t xml:space="preserve"> VLK ir TLK konsolidacij</w:t>
            </w:r>
            <w:r>
              <w:rPr>
                <w:snapToGrid w:val="0"/>
                <w:color w:val="000000" w:themeColor="text1"/>
                <w:sz w:val="22"/>
                <w:szCs w:val="22"/>
                <w:lang w:val="lt-LT"/>
              </w:rPr>
              <w:t xml:space="preserve">os įsteigus </w:t>
            </w:r>
            <w:r w:rsidR="00936BBC" w:rsidRPr="00435E03">
              <w:rPr>
                <w:snapToGrid w:val="0"/>
                <w:color w:val="000000" w:themeColor="text1"/>
                <w:sz w:val="22"/>
                <w:szCs w:val="22"/>
                <w:lang w:val="lt-LT"/>
              </w:rPr>
              <w:t>Įstaigų priežiūros departament</w:t>
            </w:r>
            <w:r>
              <w:rPr>
                <w:snapToGrid w:val="0"/>
                <w:color w:val="000000" w:themeColor="text1"/>
                <w:sz w:val="22"/>
                <w:szCs w:val="22"/>
                <w:lang w:val="lt-LT"/>
              </w:rPr>
              <w:t>ą</w:t>
            </w:r>
            <w:r w:rsidR="00936BBC" w:rsidRPr="00435E03">
              <w:rPr>
                <w:snapToGrid w:val="0"/>
                <w:color w:val="000000" w:themeColor="text1"/>
                <w:sz w:val="22"/>
                <w:szCs w:val="22"/>
                <w:lang w:val="lt-LT"/>
              </w:rPr>
              <w:t xml:space="preserve"> atsira</w:t>
            </w:r>
            <w:r>
              <w:rPr>
                <w:snapToGrid w:val="0"/>
                <w:color w:val="000000" w:themeColor="text1"/>
                <w:sz w:val="22"/>
                <w:szCs w:val="22"/>
                <w:lang w:val="lt-LT"/>
              </w:rPr>
              <w:t>do</w:t>
            </w:r>
            <w:r w:rsidR="00936BBC" w:rsidRPr="00435E03">
              <w:rPr>
                <w:snapToGrid w:val="0"/>
                <w:color w:val="000000" w:themeColor="text1"/>
                <w:sz w:val="22"/>
                <w:szCs w:val="22"/>
                <w:lang w:val="lt-LT"/>
              </w:rPr>
              <w:t xml:space="preserve"> reali galimybė užtikrinti specialistų rotaciją, įtraukiant į kontrolės procedūras specialistus iš skirtingų Įstaigų priežiūros </w:t>
            </w:r>
            <w:r>
              <w:rPr>
                <w:snapToGrid w:val="0"/>
                <w:color w:val="000000" w:themeColor="text1"/>
                <w:sz w:val="22"/>
                <w:szCs w:val="22"/>
                <w:lang w:val="lt-LT"/>
              </w:rPr>
              <w:t xml:space="preserve">departamento </w:t>
            </w:r>
            <w:r w:rsidR="00936BBC" w:rsidRPr="00435E03">
              <w:rPr>
                <w:snapToGrid w:val="0"/>
                <w:color w:val="000000" w:themeColor="text1"/>
                <w:sz w:val="22"/>
                <w:szCs w:val="22"/>
                <w:lang w:val="lt-LT"/>
              </w:rPr>
              <w:t>teritorinių skyrių</w:t>
            </w:r>
            <w:r>
              <w:rPr>
                <w:snapToGrid w:val="0"/>
                <w:color w:val="000000" w:themeColor="text1"/>
                <w:sz w:val="22"/>
                <w:szCs w:val="22"/>
                <w:lang w:val="lt-LT"/>
              </w:rPr>
              <w:t>,</w:t>
            </w:r>
            <w:r w:rsidR="00936BBC" w:rsidRPr="00435E03">
              <w:rPr>
                <w:snapToGrid w:val="0"/>
                <w:color w:val="000000" w:themeColor="text1"/>
                <w:sz w:val="22"/>
                <w:szCs w:val="22"/>
                <w:lang w:val="lt-LT"/>
              </w:rPr>
              <w:t xml:space="preserve"> ir tikrinti įstaigas skirtingose veiklos zonose, kartu užtikrinant ir tolygesnį darbo krūvio paskirstymą. </w:t>
            </w:r>
          </w:p>
          <w:p w14:paraId="40C0FC4E" w14:textId="55FF7140" w:rsidR="00936BBC" w:rsidRDefault="008A0301" w:rsidP="214D8A13">
            <w:pPr>
              <w:widowControl w:val="0"/>
              <w:jc w:val="both"/>
              <w:rPr>
                <w:snapToGrid w:val="0"/>
                <w:color w:val="000000" w:themeColor="text1"/>
                <w:sz w:val="22"/>
                <w:szCs w:val="22"/>
              </w:rPr>
            </w:pPr>
            <w:r>
              <w:rPr>
                <w:color w:val="000000" w:themeColor="text1"/>
                <w:sz w:val="22"/>
                <w:szCs w:val="22"/>
                <w:lang w:val="lt-LT"/>
              </w:rPr>
              <w:t xml:space="preserve">Įgyvendinta. </w:t>
            </w:r>
            <w:r w:rsidR="00936BBC" w:rsidRPr="00435E03">
              <w:rPr>
                <w:color w:val="000000" w:themeColor="text1"/>
                <w:sz w:val="22"/>
                <w:szCs w:val="22"/>
                <w:lang w:val="lt-LT"/>
              </w:rPr>
              <w:t xml:space="preserve">Šie principai </w:t>
            </w:r>
            <w:r w:rsidR="00C24BA6">
              <w:rPr>
                <w:color w:val="000000" w:themeColor="text1"/>
                <w:sz w:val="22"/>
                <w:szCs w:val="22"/>
                <w:lang w:val="lt-LT"/>
              </w:rPr>
              <w:t>yra</w:t>
            </w:r>
            <w:r w:rsidR="008426E4">
              <w:rPr>
                <w:color w:val="000000" w:themeColor="text1"/>
                <w:sz w:val="22"/>
                <w:szCs w:val="22"/>
                <w:lang w:val="lt-LT"/>
              </w:rPr>
              <w:t xml:space="preserve"> </w:t>
            </w:r>
            <w:r w:rsidR="00936BBC" w:rsidRPr="00435E03">
              <w:rPr>
                <w:color w:val="000000" w:themeColor="text1"/>
                <w:sz w:val="22"/>
                <w:szCs w:val="22"/>
                <w:lang w:val="lt-LT"/>
              </w:rPr>
              <w:t xml:space="preserve">nustatyti </w:t>
            </w:r>
            <w:r w:rsidR="00C24BA6">
              <w:rPr>
                <w:color w:val="000000" w:themeColor="text1"/>
                <w:sz w:val="22"/>
                <w:szCs w:val="22"/>
                <w:lang w:val="lt-LT"/>
              </w:rPr>
              <w:t xml:space="preserve">Aprašo Nr. 1K-10 pakeitime, kuris įsigaliojo nuo 2025 m. liepos 1 d. </w:t>
            </w:r>
            <w:r w:rsidR="008426E4">
              <w:rPr>
                <w:snapToGrid w:val="0"/>
                <w:color w:val="000000" w:themeColor="text1"/>
                <w:sz w:val="22"/>
                <w:szCs w:val="22"/>
                <w:lang w:val="lt-LT"/>
              </w:rPr>
              <w:t xml:space="preserve">Šiame apraše </w:t>
            </w:r>
            <w:r w:rsidR="00936BBC" w:rsidRPr="00AA1116">
              <w:rPr>
                <w:snapToGrid w:val="0"/>
                <w:color w:val="000000" w:themeColor="text1"/>
                <w:sz w:val="22"/>
                <w:szCs w:val="22"/>
                <w:lang w:val="lt-LT"/>
              </w:rPr>
              <w:t>nustatyta</w:t>
            </w:r>
            <w:r w:rsidR="004838A3">
              <w:rPr>
                <w:snapToGrid w:val="0"/>
                <w:color w:val="000000" w:themeColor="text1"/>
                <w:sz w:val="22"/>
                <w:szCs w:val="22"/>
                <w:lang w:val="lt-LT"/>
              </w:rPr>
              <w:t>,</w:t>
            </w:r>
            <w:r w:rsidR="00936BBC" w:rsidRPr="00AA1116">
              <w:rPr>
                <w:snapToGrid w:val="0"/>
                <w:color w:val="000000" w:themeColor="text1"/>
                <w:sz w:val="22"/>
                <w:szCs w:val="22"/>
                <w:lang w:val="lt-LT"/>
              </w:rPr>
              <w:t xml:space="preserve"> kad kiekvieną metų ketvirtį turi būti </w:t>
            </w:r>
            <w:r w:rsidR="008426E4">
              <w:rPr>
                <w:snapToGrid w:val="0"/>
                <w:color w:val="000000" w:themeColor="text1"/>
                <w:sz w:val="22"/>
                <w:szCs w:val="22"/>
                <w:lang w:val="lt-LT"/>
              </w:rPr>
              <w:t xml:space="preserve">atliekami </w:t>
            </w:r>
            <w:r w:rsidR="00936BBC" w:rsidRPr="00AA1116">
              <w:rPr>
                <w:snapToGrid w:val="0"/>
                <w:color w:val="000000" w:themeColor="text1"/>
                <w:sz w:val="22"/>
                <w:szCs w:val="22"/>
                <w:lang w:val="lt-LT"/>
              </w:rPr>
              <w:t>ne mažiau nei 5 rotaciniai patikrinimai</w:t>
            </w:r>
            <w:r w:rsidR="00936BBC" w:rsidRPr="00435E03">
              <w:rPr>
                <w:snapToGrid w:val="0"/>
                <w:color w:val="000000" w:themeColor="text1"/>
                <w:sz w:val="22"/>
                <w:szCs w:val="22"/>
              </w:rPr>
              <w:t>.</w:t>
            </w:r>
          </w:p>
          <w:p w14:paraId="57F3EF89" w14:textId="77777777" w:rsidR="00AA1116" w:rsidRDefault="00AA1116" w:rsidP="214D8A13">
            <w:pPr>
              <w:widowControl w:val="0"/>
              <w:jc w:val="both"/>
              <w:rPr>
                <w:snapToGrid w:val="0"/>
                <w:color w:val="000000" w:themeColor="text1"/>
                <w:sz w:val="22"/>
                <w:szCs w:val="22"/>
              </w:rPr>
            </w:pPr>
          </w:p>
          <w:p w14:paraId="4C017FD1" w14:textId="27C0DE69" w:rsidR="00AA1116" w:rsidRPr="00435E03" w:rsidRDefault="00AA1116" w:rsidP="214D8A13">
            <w:pPr>
              <w:widowControl w:val="0"/>
              <w:jc w:val="both"/>
              <w:rPr>
                <w:snapToGrid w:val="0"/>
                <w:color w:val="000000" w:themeColor="text1"/>
                <w:sz w:val="22"/>
                <w:szCs w:val="22"/>
                <w:lang w:val="lt-LT"/>
              </w:rPr>
            </w:pPr>
          </w:p>
        </w:tc>
        <w:tc>
          <w:tcPr>
            <w:tcW w:w="1242" w:type="dxa"/>
          </w:tcPr>
          <w:p w14:paraId="70916278" w14:textId="77777777" w:rsidR="00936BBC" w:rsidRPr="00435E03" w:rsidRDefault="00936BBC">
            <w:pPr>
              <w:widowControl w:val="0"/>
              <w:jc w:val="both"/>
              <w:rPr>
                <w:snapToGrid w:val="0"/>
                <w:color w:val="000000" w:themeColor="text1"/>
                <w:sz w:val="22"/>
                <w:szCs w:val="22"/>
                <w:lang w:val="lt-LT"/>
              </w:rPr>
            </w:pPr>
          </w:p>
        </w:tc>
      </w:tr>
      <w:tr w:rsidR="00936BBC" w:rsidRPr="00435E03" w14:paraId="37CA4BEB" w14:textId="77777777" w:rsidTr="00AA3369">
        <w:trPr>
          <w:trHeight w:val="20"/>
        </w:trPr>
        <w:tc>
          <w:tcPr>
            <w:tcW w:w="14737" w:type="dxa"/>
            <w:gridSpan w:val="4"/>
          </w:tcPr>
          <w:p w14:paraId="1567523B" w14:textId="77777777" w:rsidR="00936BBC" w:rsidRPr="00435E03" w:rsidRDefault="00936BBC">
            <w:pPr>
              <w:widowControl w:val="0"/>
              <w:jc w:val="center"/>
              <w:rPr>
                <w:b/>
                <w:bCs/>
                <w:snapToGrid w:val="0"/>
                <w:color w:val="000000" w:themeColor="text1"/>
                <w:sz w:val="22"/>
                <w:szCs w:val="22"/>
                <w:lang w:val="lt-LT"/>
              </w:rPr>
            </w:pPr>
            <w:r w:rsidRPr="00435E03">
              <w:rPr>
                <w:b/>
                <w:bCs/>
                <w:i/>
                <w:iCs/>
                <w:color w:val="000000" w:themeColor="text1"/>
                <w:sz w:val="22"/>
                <w:szCs w:val="22"/>
                <w:lang w:val="lt-LT"/>
              </w:rPr>
              <w:t>2. Kitos antikorupcinės pastabos</w:t>
            </w:r>
          </w:p>
        </w:tc>
      </w:tr>
      <w:tr w:rsidR="00936BBC" w:rsidRPr="00435E03" w14:paraId="1AE59078" w14:textId="77777777" w:rsidTr="00435E03">
        <w:trPr>
          <w:trHeight w:val="20"/>
        </w:trPr>
        <w:tc>
          <w:tcPr>
            <w:tcW w:w="3685" w:type="dxa"/>
          </w:tcPr>
          <w:p w14:paraId="66CF4FD5" w14:textId="59A41F71" w:rsidR="00936BBC" w:rsidRPr="00435E03" w:rsidRDefault="00031EE9">
            <w:pPr>
              <w:widowControl w:val="0"/>
              <w:jc w:val="both"/>
              <w:rPr>
                <w:snapToGrid w:val="0"/>
                <w:color w:val="000000" w:themeColor="text1"/>
                <w:sz w:val="22"/>
                <w:szCs w:val="22"/>
                <w:lang w:val="lt-LT"/>
              </w:rPr>
            </w:pPr>
            <w:r>
              <w:rPr>
                <w:color w:val="000000" w:themeColor="text1"/>
                <w:sz w:val="22"/>
                <w:szCs w:val="22"/>
                <w:lang w:val="lt-LT"/>
              </w:rPr>
              <w:t>„</w:t>
            </w:r>
            <w:r w:rsidR="00936BBC" w:rsidRPr="00435E03">
              <w:rPr>
                <w:color w:val="000000" w:themeColor="text1"/>
                <w:sz w:val="22"/>
                <w:szCs w:val="22"/>
                <w:lang w:val="lt-LT"/>
              </w:rPr>
              <w:t>4.1.2.1. Kvestionuotina, ar visos VLK nustatomos prioritetinės kontrolės kryptys objektyviai atitinka potencialiai didžiausią riziką keliančias kryptis. Neskiriant pakankamai dėmesio tokioms sritims, gali būti nenustatoma žala PSDF biudžetui, o tai paneigia visuomeninį lūkestį dėl skaidraus sveikatos apsaugos biudžeto naudojimo (motyvai nurodyti 3.3. skyriuje).</w:t>
            </w:r>
            <w:r>
              <w:rPr>
                <w:color w:val="000000" w:themeColor="text1"/>
                <w:sz w:val="22"/>
                <w:szCs w:val="22"/>
                <w:lang w:val="lt-LT"/>
              </w:rPr>
              <w:t>“</w:t>
            </w:r>
          </w:p>
        </w:tc>
        <w:tc>
          <w:tcPr>
            <w:tcW w:w="3256" w:type="dxa"/>
          </w:tcPr>
          <w:p w14:paraId="3A3699F0" w14:textId="4AA956CA" w:rsidR="00936BBC" w:rsidRPr="00435E03" w:rsidRDefault="00031EE9">
            <w:pPr>
              <w:widowControl w:val="0"/>
              <w:jc w:val="both"/>
              <w:rPr>
                <w:snapToGrid w:val="0"/>
                <w:color w:val="000000" w:themeColor="text1"/>
                <w:sz w:val="22"/>
                <w:szCs w:val="22"/>
                <w:lang w:val="lt-LT"/>
              </w:rPr>
            </w:pPr>
            <w:r>
              <w:rPr>
                <w:snapToGrid w:val="0"/>
                <w:color w:val="000000" w:themeColor="text1"/>
                <w:sz w:val="22"/>
                <w:szCs w:val="22"/>
                <w:lang w:val="lt-LT"/>
              </w:rPr>
              <w:t>„</w:t>
            </w:r>
            <w:r w:rsidR="00936BBC" w:rsidRPr="00435E03">
              <w:rPr>
                <w:snapToGrid w:val="0"/>
                <w:color w:val="000000" w:themeColor="text1"/>
                <w:sz w:val="22"/>
                <w:szCs w:val="22"/>
                <w:lang w:val="lt-LT"/>
              </w:rPr>
              <w:t>5.1.3.1. Iš naujo įvertinti prioritetines kontrolės kryptis, kurios objektyviai atitiktų didžiausią nustatomą žalą keleto metų laikotarpiu ar įvesti kitus, objektyvius planavimo kriterijus (dėl kritinės antikorupcinės pastabos Nr. 4.1.2.1).</w:t>
            </w:r>
            <w:r>
              <w:rPr>
                <w:snapToGrid w:val="0"/>
                <w:color w:val="000000" w:themeColor="text1"/>
                <w:sz w:val="22"/>
                <w:szCs w:val="22"/>
                <w:lang w:val="lt-LT"/>
              </w:rPr>
              <w:t>“</w:t>
            </w:r>
          </w:p>
          <w:p w14:paraId="5BBC53D1" w14:textId="77777777" w:rsidR="00936BBC" w:rsidRPr="00435E03" w:rsidRDefault="00936BBC">
            <w:pPr>
              <w:widowControl w:val="0"/>
              <w:jc w:val="both"/>
              <w:rPr>
                <w:snapToGrid w:val="0"/>
                <w:color w:val="000000" w:themeColor="text1"/>
                <w:sz w:val="22"/>
                <w:szCs w:val="22"/>
                <w:lang w:val="lt-LT"/>
              </w:rPr>
            </w:pPr>
          </w:p>
        </w:tc>
        <w:tc>
          <w:tcPr>
            <w:tcW w:w="6554" w:type="dxa"/>
          </w:tcPr>
          <w:p w14:paraId="62E86BA4" w14:textId="7215DA8E" w:rsidR="00936BBC" w:rsidRPr="00AA1116" w:rsidRDefault="008A0301" w:rsidP="214D8A13">
            <w:pPr>
              <w:widowControl w:val="0"/>
              <w:jc w:val="both"/>
              <w:rPr>
                <w:snapToGrid w:val="0"/>
                <w:color w:val="000000" w:themeColor="text1"/>
                <w:sz w:val="22"/>
                <w:szCs w:val="22"/>
                <w:lang w:val="lt-LT"/>
              </w:rPr>
            </w:pPr>
            <w:r>
              <w:rPr>
                <w:color w:val="000000" w:themeColor="text1"/>
                <w:sz w:val="22"/>
                <w:szCs w:val="22"/>
                <w:lang w:val="lt-LT"/>
              </w:rPr>
              <w:t xml:space="preserve">Įgyvendinta. </w:t>
            </w:r>
            <w:r w:rsidR="00936BBC" w:rsidRPr="00AA1116">
              <w:rPr>
                <w:color w:val="000000" w:themeColor="text1"/>
                <w:sz w:val="22"/>
                <w:szCs w:val="22"/>
                <w:lang w:val="lt-LT"/>
              </w:rPr>
              <w:t xml:space="preserve">Nuo </w:t>
            </w:r>
            <w:r w:rsidR="00C24BA6" w:rsidRPr="00C24BA6">
              <w:rPr>
                <w:color w:val="000000" w:themeColor="text1"/>
                <w:sz w:val="22"/>
                <w:szCs w:val="22"/>
                <w:lang w:val="lt-LT"/>
              </w:rPr>
              <w:t>2025 m. liepos 1 d</w:t>
            </w:r>
            <w:r w:rsidR="00936BBC" w:rsidRPr="00AA1116">
              <w:rPr>
                <w:color w:val="000000" w:themeColor="text1"/>
                <w:sz w:val="22"/>
                <w:szCs w:val="22"/>
                <w:lang w:val="lt-LT"/>
              </w:rPr>
              <w:t xml:space="preserve"> įsigaliojo </w:t>
            </w:r>
            <w:r w:rsidR="00C24BA6">
              <w:rPr>
                <w:snapToGrid w:val="0"/>
                <w:color w:val="000000" w:themeColor="text1"/>
                <w:sz w:val="22"/>
                <w:szCs w:val="22"/>
                <w:lang w:val="lt-LT"/>
              </w:rPr>
              <w:t>Aprašo Nr. 1K-10</w:t>
            </w:r>
            <w:r w:rsidR="00936BBC" w:rsidRPr="00AA1116">
              <w:rPr>
                <w:snapToGrid w:val="0"/>
                <w:color w:val="000000" w:themeColor="text1"/>
                <w:sz w:val="22"/>
                <w:szCs w:val="22"/>
                <w:lang w:val="lt-LT"/>
              </w:rPr>
              <w:t xml:space="preserve"> pakeitimas, </w:t>
            </w:r>
            <w:r w:rsidR="008426E4">
              <w:rPr>
                <w:snapToGrid w:val="0"/>
                <w:color w:val="000000" w:themeColor="text1"/>
                <w:sz w:val="22"/>
                <w:szCs w:val="22"/>
                <w:lang w:val="lt-LT"/>
              </w:rPr>
              <w:t>pagal kurį turi būti</w:t>
            </w:r>
            <w:r w:rsidR="00936BBC" w:rsidRPr="00AA1116">
              <w:rPr>
                <w:snapToGrid w:val="0"/>
                <w:color w:val="000000" w:themeColor="text1"/>
                <w:sz w:val="22"/>
                <w:szCs w:val="22"/>
                <w:lang w:val="lt-LT"/>
              </w:rPr>
              <w:t xml:space="preserve"> tvirtin</w:t>
            </w:r>
            <w:r w:rsidR="008426E4">
              <w:rPr>
                <w:snapToGrid w:val="0"/>
                <w:color w:val="000000" w:themeColor="text1"/>
                <w:sz w:val="22"/>
                <w:szCs w:val="22"/>
                <w:lang w:val="lt-LT"/>
              </w:rPr>
              <w:t>amas</w:t>
            </w:r>
            <w:r w:rsidR="00936BBC" w:rsidRPr="00AA1116">
              <w:rPr>
                <w:snapToGrid w:val="0"/>
                <w:color w:val="000000" w:themeColor="text1"/>
                <w:sz w:val="22"/>
                <w:szCs w:val="22"/>
                <w:lang w:val="lt-LT"/>
              </w:rPr>
              <w:t xml:space="preserve"> metin</w:t>
            </w:r>
            <w:r w:rsidR="008426E4">
              <w:rPr>
                <w:snapToGrid w:val="0"/>
                <w:color w:val="000000" w:themeColor="text1"/>
                <w:sz w:val="22"/>
                <w:szCs w:val="22"/>
                <w:lang w:val="lt-LT"/>
              </w:rPr>
              <w:t>is</w:t>
            </w:r>
            <w:r w:rsidR="00936BBC" w:rsidRPr="00AA1116">
              <w:rPr>
                <w:snapToGrid w:val="0"/>
                <w:color w:val="000000" w:themeColor="text1"/>
                <w:sz w:val="22"/>
                <w:szCs w:val="22"/>
                <w:lang w:val="lt-LT"/>
              </w:rPr>
              <w:t xml:space="preserve"> kontrolės procedūrų plan</w:t>
            </w:r>
            <w:r w:rsidR="008426E4">
              <w:rPr>
                <w:snapToGrid w:val="0"/>
                <w:color w:val="000000" w:themeColor="text1"/>
                <w:sz w:val="22"/>
                <w:szCs w:val="22"/>
                <w:lang w:val="lt-LT"/>
              </w:rPr>
              <w:t>as</w:t>
            </w:r>
            <w:r w:rsidR="00936BBC" w:rsidRPr="00AA1116">
              <w:rPr>
                <w:snapToGrid w:val="0"/>
                <w:color w:val="000000" w:themeColor="text1"/>
                <w:sz w:val="22"/>
                <w:szCs w:val="22"/>
                <w:lang w:val="lt-LT"/>
              </w:rPr>
              <w:t>.</w:t>
            </w:r>
          </w:p>
        </w:tc>
        <w:tc>
          <w:tcPr>
            <w:tcW w:w="1242" w:type="dxa"/>
          </w:tcPr>
          <w:p w14:paraId="09764FF1" w14:textId="77777777" w:rsidR="00936BBC" w:rsidRPr="00435E03" w:rsidRDefault="00936BBC">
            <w:pPr>
              <w:widowControl w:val="0"/>
              <w:jc w:val="both"/>
              <w:rPr>
                <w:snapToGrid w:val="0"/>
                <w:color w:val="000000" w:themeColor="text1"/>
                <w:sz w:val="22"/>
                <w:szCs w:val="22"/>
                <w:lang w:val="lt-LT"/>
              </w:rPr>
            </w:pPr>
          </w:p>
        </w:tc>
      </w:tr>
      <w:tr w:rsidR="00936BBC" w:rsidRPr="00435E03" w14:paraId="45EC4683" w14:textId="77777777" w:rsidTr="00435E03">
        <w:trPr>
          <w:trHeight w:val="20"/>
        </w:trPr>
        <w:tc>
          <w:tcPr>
            <w:tcW w:w="3685" w:type="dxa"/>
          </w:tcPr>
          <w:p w14:paraId="73E3FCBE" w14:textId="328F834E" w:rsidR="00936BBC" w:rsidRPr="00435E03" w:rsidRDefault="00031EE9">
            <w:pPr>
              <w:widowControl w:val="0"/>
              <w:jc w:val="both"/>
              <w:rPr>
                <w:snapToGrid w:val="0"/>
                <w:color w:val="000000" w:themeColor="text1"/>
                <w:sz w:val="22"/>
                <w:szCs w:val="22"/>
                <w:lang w:val="lt-LT"/>
              </w:rPr>
            </w:pPr>
            <w:r>
              <w:rPr>
                <w:snapToGrid w:val="0"/>
                <w:color w:val="000000" w:themeColor="text1"/>
                <w:sz w:val="22"/>
                <w:szCs w:val="22"/>
                <w:lang w:val="lt-LT"/>
              </w:rPr>
              <w:t>„</w:t>
            </w:r>
            <w:r w:rsidR="00936BBC" w:rsidRPr="00435E03">
              <w:rPr>
                <w:snapToGrid w:val="0"/>
                <w:color w:val="000000" w:themeColor="text1"/>
                <w:sz w:val="22"/>
                <w:szCs w:val="22"/>
                <w:lang w:val="lt-LT"/>
              </w:rPr>
              <w:t xml:space="preserve">4.1.2.2. Šiuo metu galiojantys ūkio subjektų veiklos rizikos nustatymo kriterijai yra nepalankūs didelėms ASPĮ, kurios išlaikomos iš valstybės lėšų, kadangi jos ir savo įsteigimo tikslu yra įpareigotos atsižvelgti į visuomeninius poreikius, todėl dėl savo plataus spektro teikiamų asmens </w:t>
            </w:r>
            <w:r w:rsidR="00936BBC" w:rsidRPr="00435E03">
              <w:rPr>
                <w:snapToGrid w:val="0"/>
                <w:color w:val="000000" w:themeColor="text1"/>
                <w:sz w:val="22"/>
                <w:szCs w:val="22"/>
                <w:lang w:val="lt-LT"/>
              </w:rPr>
              <w:lastRenderedPageBreak/>
              <w:t>sveikatos priežiūros paslaugų ir šių paslaugų teikimo masto, savaime atitinka didelės rizikos kriterijus, o privačios ASPĮ, galimai nepatenka vien dėl to, jog teikia gerokai mažiau paslaugų ir atskirais atvejais, specializuojasi tokiose srityje, kurios neatitinka rizikos kriterijų. Dėl to pastarosioms gali būti skiriama mažiau dėmesio duomenų stebėjimo metu, neplanuojant kontrolės procedūras ir kt. (motyvai nurodyti 3.4 skyriuje).</w:t>
            </w:r>
            <w:r w:rsidR="004838A3">
              <w:rPr>
                <w:snapToGrid w:val="0"/>
                <w:color w:val="000000" w:themeColor="text1"/>
                <w:sz w:val="22"/>
                <w:szCs w:val="22"/>
                <w:lang w:val="lt-LT"/>
              </w:rPr>
              <w:t>“</w:t>
            </w:r>
          </w:p>
        </w:tc>
        <w:tc>
          <w:tcPr>
            <w:tcW w:w="3256" w:type="dxa"/>
          </w:tcPr>
          <w:p w14:paraId="0C640B39" w14:textId="682E8FCE" w:rsidR="00936BBC" w:rsidRPr="00435E03" w:rsidRDefault="00031EE9">
            <w:pPr>
              <w:widowControl w:val="0"/>
              <w:jc w:val="both"/>
              <w:rPr>
                <w:snapToGrid w:val="0"/>
                <w:color w:val="000000" w:themeColor="text1"/>
                <w:sz w:val="22"/>
                <w:szCs w:val="22"/>
                <w:lang w:val="lt-LT"/>
              </w:rPr>
            </w:pPr>
            <w:r>
              <w:rPr>
                <w:snapToGrid w:val="0"/>
                <w:color w:val="000000" w:themeColor="text1"/>
                <w:sz w:val="22"/>
                <w:szCs w:val="22"/>
                <w:lang w:val="lt-LT"/>
              </w:rPr>
              <w:lastRenderedPageBreak/>
              <w:t>„</w:t>
            </w:r>
            <w:r w:rsidR="00936BBC" w:rsidRPr="00435E03">
              <w:rPr>
                <w:snapToGrid w:val="0"/>
                <w:color w:val="000000" w:themeColor="text1"/>
                <w:sz w:val="22"/>
                <w:szCs w:val="22"/>
                <w:lang w:val="lt-LT"/>
              </w:rPr>
              <w:t>5.1.3.2. Tikslinti Įstaigų ir įmonių veiklos rizikingumo laipsnio procedūrą, pakeičiant/patikslinant rizikos rodiklius, kurie galėtų tiksliau atspindėti ūkio subjektų keliamą riziką (dėl kritinės antikorupcijos pastabos Nr. 4.1.2.2).</w:t>
            </w:r>
            <w:r w:rsidR="00E3439D">
              <w:rPr>
                <w:snapToGrid w:val="0"/>
                <w:color w:val="000000" w:themeColor="text1"/>
                <w:sz w:val="22"/>
                <w:szCs w:val="22"/>
                <w:lang w:val="lt-LT"/>
              </w:rPr>
              <w:t>“</w:t>
            </w:r>
          </w:p>
          <w:p w14:paraId="750F4978" w14:textId="77777777" w:rsidR="00936BBC" w:rsidRPr="00435E03" w:rsidRDefault="00936BBC">
            <w:pPr>
              <w:widowControl w:val="0"/>
              <w:jc w:val="both"/>
              <w:rPr>
                <w:snapToGrid w:val="0"/>
                <w:color w:val="000000" w:themeColor="text1"/>
                <w:sz w:val="22"/>
                <w:szCs w:val="22"/>
                <w:lang w:val="lt-LT"/>
              </w:rPr>
            </w:pPr>
          </w:p>
        </w:tc>
        <w:tc>
          <w:tcPr>
            <w:tcW w:w="6554" w:type="dxa"/>
          </w:tcPr>
          <w:p w14:paraId="50E2670F" w14:textId="1C76CCF9" w:rsidR="00186C1A" w:rsidRPr="00AA1116" w:rsidRDefault="00186C1A" w:rsidP="214D8A13">
            <w:pPr>
              <w:widowControl w:val="0"/>
              <w:jc w:val="both"/>
              <w:rPr>
                <w:snapToGrid w:val="0"/>
                <w:color w:val="000000" w:themeColor="text1"/>
                <w:sz w:val="22"/>
                <w:szCs w:val="22"/>
                <w:lang w:val="lt-LT"/>
              </w:rPr>
            </w:pPr>
            <w:r w:rsidRPr="00AA1116">
              <w:rPr>
                <w:snapToGrid w:val="0"/>
                <w:color w:val="000000" w:themeColor="text1"/>
                <w:sz w:val="22"/>
                <w:szCs w:val="22"/>
                <w:lang w:val="lt-LT"/>
              </w:rPr>
              <w:lastRenderedPageBreak/>
              <w:t>Įgyvendinta</w:t>
            </w:r>
            <w:r w:rsidR="00E3439D">
              <w:rPr>
                <w:snapToGrid w:val="0"/>
                <w:color w:val="000000" w:themeColor="text1"/>
                <w:sz w:val="22"/>
                <w:szCs w:val="22"/>
                <w:lang w:val="lt-LT"/>
              </w:rPr>
              <w:t xml:space="preserve"> –</w:t>
            </w:r>
            <w:r w:rsidRPr="00AA1116">
              <w:rPr>
                <w:snapToGrid w:val="0"/>
                <w:color w:val="000000" w:themeColor="text1"/>
                <w:sz w:val="22"/>
                <w:szCs w:val="22"/>
                <w:lang w:val="lt-LT"/>
              </w:rPr>
              <w:t xml:space="preserve"> atliktas </w:t>
            </w:r>
            <w:r w:rsidR="0039246C">
              <w:rPr>
                <w:snapToGrid w:val="0"/>
                <w:color w:val="000000" w:themeColor="text1"/>
                <w:sz w:val="22"/>
                <w:szCs w:val="22"/>
                <w:lang w:val="lt-LT"/>
              </w:rPr>
              <w:t>Aprašo Nr. 1K-339</w:t>
            </w:r>
            <w:r w:rsidRPr="008A0301">
              <w:rPr>
                <w:snapToGrid w:val="0"/>
                <w:color w:val="000000" w:themeColor="text1"/>
                <w:sz w:val="22"/>
                <w:szCs w:val="22"/>
                <w:lang w:val="lt-LT"/>
              </w:rPr>
              <w:t xml:space="preserve"> pakeitimas.</w:t>
            </w:r>
          </w:p>
          <w:p w14:paraId="2FA76A94" w14:textId="77777777" w:rsidR="00186C1A" w:rsidRPr="00AA1116" w:rsidRDefault="00186C1A">
            <w:pPr>
              <w:widowControl w:val="0"/>
              <w:jc w:val="both"/>
              <w:rPr>
                <w:snapToGrid w:val="0"/>
                <w:color w:val="000000" w:themeColor="text1"/>
                <w:sz w:val="22"/>
                <w:szCs w:val="22"/>
                <w:lang w:val="lt-LT"/>
              </w:rPr>
            </w:pPr>
          </w:p>
          <w:p w14:paraId="66827089" w14:textId="5EEAACAE" w:rsidR="00936BBC" w:rsidRPr="00AA1116" w:rsidRDefault="00936BBC">
            <w:pPr>
              <w:widowControl w:val="0"/>
              <w:jc w:val="both"/>
              <w:rPr>
                <w:snapToGrid w:val="0"/>
                <w:color w:val="000000" w:themeColor="text1"/>
                <w:sz w:val="22"/>
                <w:szCs w:val="22"/>
                <w:lang w:val="lt-LT"/>
              </w:rPr>
            </w:pPr>
          </w:p>
        </w:tc>
        <w:tc>
          <w:tcPr>
            <w:tcW w:w="1242" w:type="dxa"/>
          </w:tcPr>
          <w:p w14:paraId="35241FFF" w14:textId="77777777" w:rsidR="00936BBC" w:rsidRPr="00435E03" w:rsidRDefault="00936BBC">
            <w:pPr>
              <w:widowControl w:val="0"/>
              <w:jc w:val="both"/>
              <w:rPr>
                <w:snapToGrid w:val="0"/>
                <w:color w:val="000000" w:themeColor="text1"/>
                <w:sz w:val="22"/>
                <w:szCs w:val="22"/>
                <w:lang w:val="lt-LT"/>
              </w:rPr>
            </w:pPr>
          </w:p>
        </w:tc>
      </w:tr>
      <w:tr w:rsidR="00936BBC" w:rsidRPr="00435E03" w14:paraId="35DDF2F7" w14:textId="77777777" w:rsidTr="00435E03">
        <w:trPr>
          <w:trHeight w:val="20"/>
        </w:trPr>
        <w:tc>
          <w:tcPr>
            <w:tcW w:w="3685" w:type="dxa"/>
          </w:tcPr>
          <w:p w14:paraId="1459F75E" w14:textId="10068307" w:rsidR="00936BBC" w:rsidRPr="00435E03" w:rsidRDefault="00031EE9" w:rsidP="522C6F70">
            <w:pPr>
              <w:jc w:val="both"/>
              <w:rPr>
                <w:color w:val="000000" w:themeColor="text1"/>
                <w:sz w:val="22"/>
                <w:szCs w:val="22"/>
                <w:lang w:val="lt-LT"/>
              </w:rPr>
            </w:pPr>
            <w:r>
              <w:rPr>
                <w:color w:val="000000" w:themeColor="text1"/>
                <w:sz w:val="22"/>
                <w:szCs w:val="22"/>
                <w:lang w:val="lt-LT"/>
              </w:rPr>
              <w:t>„</w:t>
            </w:r>
            <w:r w:rsidR="00936BBC" w:rsidRPr="00435E03">
              <w:rPr>
                <w:color w:val="000000" w:themeColor="text1"/>
                <w:sz w:val="22"/>
                <w:szCs w:val="22"/>
                <w:lang w:val="lt-LT"/>
              </w:rPr>
              <w:t>4.1.2.3. Supaprastintos neatitikčių vertinimo procedūros teisinis reglamentavimas kelia korupcijos pasireiškimo tikimybę, kadangi numato tik kelis atvejus, kuomet SNVP pereina į kontrolės procedūrą. Manytina, jog tokie pagrindai, kuomet neatsižvelgiama į galimos žalos dydį, neatitikimų pasikartojimą ir sistemiškumą, yra ydingi antikorupciniu požiūriu (motyvai nurodyti 3.8. skyriuje).</w:t>
            </w:r>
            <w:r>
              <w:rPr>
                <w:color w:val="000000" w:themeColor="text1"/>
                <w:sz w:val="22"/>
                <w:szCs w:val="22"/>
                <w:lang w:val="lt-LT"/>
              </w:rPr>
              <w:t>“</w:t>
            </w:r>
          </w:p>
          <w:p w14:paraId="5A739A94" w14:textId="77777777" w:rsidR="00936BBC" w:rsidRPr="00435E03" w:rsidRDefault="00936BBC">
            <w:pPr>
              <w:widowControl w:val="0"/>
              <w:jc w:val="both"/>
              <w:rPr>
                <w:snapToGrid w:val="0"/>
                <w:color w:val="000000" w:themeColor="text1"/>
                <w:sz w:val="22"/>
                <w:szCs w:val="22"/>
                <w:lang w:val="lt-LT"/>
              </w:rPr>
            </w:pPr>
          </w:p>
        </w:tc>
        <w:tc>
          <w:tcPr>
            <w:tcW w:w="3256" w:type="dxa"/>
          </w:tcPr>
          <w:p w14:paraId="1FFDF9E8" w14:textId="7CAE9C30" w:rsidR="00936BBC" w:rsidRPr="00435E03" w:rsidRDefault="00031EE9">
            <w:pPr>
              <w:widowControl w:val="0"/>
              <w:jc w:val="both"/>
              <w:rPr>
                <w:color w:val="000000" w:themeColor="text1"/>
                <w:sz w:val="22"/>
                <w:szCs w:val="22"/>
                <w:lang w:val="lt-LT"/>
              </w:rPr>
            </w:pPr>
            <w:r>
              <w:rPr>
                <w:color w:val="000000" w:themeColor="text1"/>
                <w:sz w:val="22"/>
                <w:szCs w:val="22"/>
                <w:lang w:val="lt-LT"/>
              </w:rPr>
              <w:t>„</w:t>
            </w:r>
            <w:r w:rsidR="00936BBC" w:rsidRPr="00435E03">
              <w:rPr>
                <w:color w:val="000000" w:themeColor="text1"/>
                <w:sz w:val="22"/>
                <w:szCs w:val="22"/>
                <w:lang w:val="lt-LT"/>
              </w:rPr>
              <w:t>5.1.3.3. Keisti Supaprastintos neatitikčių vertinimo procedūros teisinį reglamentavimą, papildant jį pagrindais, kuomet Supaprastinta neatitikčių vertinimo procedūra pereina į kontrolės procedūrą (pavyzdžiui, numatant, kad SNVP automatiškai pereitų į išsamesnę kontrolės procedūrą, jei nustatyta žala viršytų tam tikrą slenkstį, ar tam tikrose situacijose, ar esant pagrindui apie įtariamą sukčiavimo atvejį, matomas pakartotinumas ir kt.) (dėl kritinės antikorupcinės pastabos Nr. 4.1.2.3).</w:t>
            </w:r>
          </w:p>
          <w:p w14:paraId="6D690076" w14:textId="0C8E5D58" w:rsidR="00936BBC" w:rsidRPr="00435E03" w:rsidRDefault="00936BBC">
            <w:pPr>
              <w:widowControl w:val="0"/>
              <w:jc w:val="both"/>
              <w:rPr>
                <w:color w:val="000000" w:themeColor="text1"/>
                <w:sz w:val="22"/>
                <w:szCs w:val="22"/>
                <w:lang w:val="lt-LT"/>
              </w:rPr>
            </w:pPr>
            <w:r w:rsidRPr="00435E03">
              <w:rPr>
                <w:color w:val="000000" w:themeColor="text1"/>
                <w:sz w:val="22"/>
                <w:szCs w:val="22"/>
                <w:lang w:val="lt-LT"/>
              </w:rPr>
              <w:t xml:space="preserve">5.1.3.4. Pritaikyti jau galiojantį veiklos rizikos vertinimo procesą Supaprastintoje neatitikčių vertinimo procedūroje (dėl kitos </w:t>
            </w:r>
            <w:r w:rsidRPr="00435E03">
              <w:rPr>
                <w:color w:val="000000" w:themeColor="text1"/>
                <w:sz w:val="22"/>
                <w:szCs w:val="22"/>
                <w:lang w:val="lt-LT"/>
              </w:rPr>
              <w:lastRenderedPageBreak/>
              <w:t>antikorupcinės pastabos Nr. 4.1.2.3).</w:t>
            </w:r>
            <w:r w:rsidR="00031EE9">
              <w:rPr>
                <w:color w:val="000000" w:themeColor="text1"/>
                <w:sz w:val="22"/>
                <w:szCs w:val="22"/>
                <w:lang w:val="lt-LT"/>
              </w:rPr>
              <w:t>“</w:t>
            </w:r>
          </w:p>
        </w:tc>
        <w:tc>
          <w:tcPr>
            <w:tcW w:w="6554" w:type="dxa"/>
          </w:tcPr>
          <w:p w14:paraId="378285D3" w14:textId="037C14F6" w:rsidR="00936BBC" w:rsidRPr="00435E03" w:rsidRDefault="2A529089" w:rsidP="522C6F70">
            <w:pPr>
              <w:pStyle w:val="NormalWeb"/>
              <w:widowControl w:val="0"/>
              <w:spacing w:before="0" w:beforeAutospacing="0" w:after="0" w:afterAutospacing="0"/>
              <w:jc w:val="both"/>
              <w:rPr>
                <w:color w:val="000000" w:themeColor="text1"/>
                <w:sz w:val="22"/>
                <w:szCs w:val="22"/>
              </w:rPr>
            </w:pPr>
            <w:r w:rsidRPr="00435E03">
              <w:rPr>
                <w:color w:val="000000" w:themeColor="text1"/>
                <w:sz w:val="22"/>
                <w:szCs w:val="22"/>
              </w:rPr>
              <w:lastRenderedPageBreak/>
              <w:t xml:space="preserve">Šiuo metu rengiamas </w:t>
            </w:r>
            <w:r w:rsidR="0039246C">
              <w:rPr>
                <w:color w:val="000000" w:themeColor="text1"/>
                <w:sz w:val="22"/>
                <w:szCs w:val="22"/>
              </w:rPr>
              <w:t>Aprašo Nr. 1K-10</w:t>
            </w:r>
            <w:r w:rsidRPr="00435E03">
              <w:rPr>
                <w:color w:val="000000" w:themeColor="text1"/>
                <w:sz w:val="22"/>
                <w:szCs w:val="22"/>
              </w:rPr>
              <w:t xml:space="preserve"> pakeitimo projektas</w:t>
            </w:r>
            <w:r w:rsidR="00E3439D">
              <w:rPr>
                <w:color w:val="000000" w:themeColor="text1"/>
                <w:sz w:val="22"/>
                <w:szCs w:val="22"/>
              </w:rPr>
              <w:t xml:space="preserve">. Šiame projekte bus </w:t>
            </w:r>
            <w:r w:rsidR="0039246C">
              <w:rPr>
                <w:color w:val="000000" w:themeColor="text1"/>
                <w:sz w:val="22"/>
                <w:szCs w:val="22"/>
              </w:rPr>
              <w:t>nustatyti</w:t>
            </w:r>
            <w:r w:rsidR="00E3439D">
              <w:rPr>
                <w:color w:val="000000" w:themeColor="text1"/>
                <w:sz w:val="22"/>
                <w:szCs w:val="22"/>
              </w:rPr>
              <w:t xml:space="preserve"> atvejai</w:t>
            </w:r>
            <w:r w:rsidRPr="00435E03" w:rsidDel="00E3439D">
              <w:rPr>
                <w:color w:val="000000" w:themeColor="text1"/>
                <w:sz w:val="22"/>
                <w:szCs w:val="22"/>
              </w:rPr>
              <w:t xml:space="preserve">, </w:t>
            </w:r>
            <w:r w:rsidR="62CBF838" w:rsidRPr="00435E03">
              <w:rPr>
                <w:color w:val="000000" w:themeColor="text1"/>
                <w:sz w:val="22"/>
                <w:szCs w:val="22"/>
              </w:rPr>
              <w:t>kai iš supaprastintos neatitikčių vertinimo procedūros pereinama į kontrolės procedūrą</w:t>
            </w:r>
            <w:r w:rsidR="3D163EE2" w:rsidRPr="00435E03">
              <w:rPr>
                <w:color w:val="000000" w:themeColor="text1"/>
                <w:sz w:val="22"/>
                <w:szCs w:val="22"/>
              </w:rPr>
              <w:t>.</w:t>
            </w:r>
            <w:r w:rsidR="62CBF838" w:rsidRPr="00435E03">
              <w:rPr>
                <w:color w:val="000000" w:themeColor="text1"/>
                <w:sz w:val="22"/>
                <w:szCs w:val="22"/>
              </w:rPr>
              <w:t xml:space="preserve"> </w:t>
            </w:r>
          </w:p>
          <w:p w14:paraId="1180B0AA" w14:textId="41C90D11" w:rsidR="00936BBC" w:rsidRPr="00435E03" w:rsidRDefault="00936BBC">
            <w:pPr>
              <w:widowControl w:val="0"/>
              <w:jc w:val="both"/>
              <w:rPr>
                <w:snapToGrid w:val="0"/>
                <w:color w:val="000000" w:themeColor="text1"/>
                <w:sz w:val="22"/>
                <w:szCs w:val="22"/>
                <w:lang w:val="lt-LT"/>
              </w:rPr>
            </w:pPr>
          </w:p>
        </w:tc>
        <w:tc>
          <w:tcPr>
            <w:tcW w:w="1242" w:type="dxa"/>
          </w:tcPr>
          <w:p w14:paraId="110632F7" w14:textId="77777777" w:rsidR="00936BBC" w:rsidRPr="00435E03" w:rsidRDefault="00936BBC">
            <w:pPr>
              <w:widowControl w:val="0"/>
              <w:jc w:val="both"/>
              <w:rPr>
                <w:snapToGrid w:val="0"/>
                <w:color w:val="000000" w:themeColor="text1"/>
                <w:sz w:val="22"/>
                <w:szCs w:val="22"/>
                <w:lang w:val="lt-LT"/>
              </w:rPr>
            </w:pPr>
          </w:p>
        </w:tc>
      </w:tr>
    </w:tbl>
    <w:p w14:paraId="358FAB84" w14:textId="77777777" w:rsidR="00936BBC" w:rsidRDefault="00936BBC" w:rsidP="00936BBC">
      <w:pPr>
        <w:widowControl w:val="0"/>
        <w:jc w:val="both"/>
        <w:rPr>
          <w:snapToGrid w:val="0"/>
          <w:color w:val="000000" w:themeColor="text1"/>
          <w:sz w:val="24"/>
          <w:szCs w:val="24"/>
          <w:lang w:val="lt-LT"/>
        </w:rPr>
      </w:pPr>
    </w:p>
    <w:p w14:paraId="35A8B72B" w14:textId="77777777" w:rsidR="00971E7B" w:rsidRPr="00971E7B" w:rsidRDefault="00971E7B" w:rsidP="00971E7B">
      <w:pPr>
        <w:tabs>
          <w:tab w:val="left" w:pos="12285"/>
        </w:tabs>
        <w:rPr>
          <w:snapToGrid w:val="0"/>
          <w:sz w:val="24"/>
          <w:szCs w:val="24"/>
          <w:lang w:val="lt-LT"/>
        </w:rPr>
      </w:pPr>
    </w:p>
    <w:p w14:paraId="08C403CF" w14:textId="77777777" w:rsidR="00971E7B" w:rsidRPr="00971E7B" w:rsidRDefault="00971E7B" w:rsidP="00971E7B">
      <w:pPr>
        <w:tabs>
          <w:tab w:val="left" w:pos="12285"/>
        </w:tabs>
        <w:rPr>
          <w:snapToGrid w:val="0"/>
          <w:sz w:val="24"/>
          <w:szCs w:val="24"/>
          <w:lang w:val="lt-LT"/>
        </w:rPr>
      </w:pPr>
    </w:p>
    <w:p w14:paraId="6B1803DB" w14:textId="77326DE5" w:rsidR="00F71A50" w:rsidRPr="00971E7B" w:rsidRDefault="00971E7B" w:rsidP="00971E7B">
      <w:pPr>
        <w:tabs>
          <w:tab w:val="left" w:pos="12285"/>
        </w:tabs>
      </w:pPr>
      <w:r w:rsidRPr="00971E7B">
        <w:rPr>
          <w:sz w:val="24"/>
          <w:szCs w:val="24"/>
          <w:lang w:val="lt-LT"/>
        </w:rPr>
        <w:t>Rizikų valdymo skyriaus vedėja</w:t>
      </w:r>
      <w:r>
        <w:rPr>
          <w:sz w:val="24"/>
          <w:szCs w:val="24"/>
          <w:lang w:val="lt-LT"/>
        </w:rPr>
        <w:t xml:space="preserve">                                                                                                                                                 </w:t>
      </w:r>
      <w:r w:rsidRPr="00971E7B">
        <w:rPr>
          <w:sz w:val="24"/>
          <w:szCs w:val="24"/>
          <w:lang w:val="lt-LT"/>
        </w:rPr>
        <w:t>Jelena Izmailovič</w:t>
      </w:r>
    </w:p>
    <w:sectPr w:rsidR="00F71A50" w:rsidRPr="00971E7B" w:rsidSect="00CF3C86">
      <w:headerReference w:type="default" r:id="rId9"/>
      <w:footerReference w:type="default" r:id="rId10"/>
      <w:headerReference w:type="first" r:id="rId11"/>
      <w:footnotePr>
        <w:numFmt w:val="chicago"/>
      </w:footnotePr>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C64F" w14:textId="77777777" w:rsidR="00F4144E" w:rsidRDefault="00F4144E" w:rsidP="00936BBC">
      <w:r>
        <w:separator/>
      </w:r>
    </w:p>
  </w:endnote>
  <w:endnote w:type="continuationSeparator" w:id="0">
    <w:p w14:paraId="095677EA" w14:textId="77777777" w:rsidR="00F4144E" w:rsidRDefault="00F4144E" w:rsidP="009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08C9" w14:textId="155B5EC8" w:rsidR="00A70FAF" w:rsidRDefault="00A70FAF">
    <w:pPr>
      <w:pStyle w:val="Footer"/>
      <w:jc w:val="center"/>
    </w:pPr>
  </w:p>
  <w:p w14:paraId="6EA122AA" w14:textId="77777777" w:rsidR="00A70FAF" w:rsidRDefault="00A70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89D7" w14:textId="77777777" w:rsidR="00F4144E" w:rsidRDefault="00F4144E" w:rsidP="00936BBC">
      <w:r>
        <w:separator/>
      </w:r>
    </w:p>
  </w:footnote>
  <w:footnote w:type="continuationSeparator" w:id="0">
    <w:p w14:paraId="399735EE" w14:textId="77777777" w:rsidR="00F4144E" w:rsidRDefault="00F4144E" w:rsidP="009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82731"/>
      <w:docPartObj>
        <w:docPartGallery w:val="Page Numbers (Top of Page)"/>
        <w:docPartUnique/>
      </w:docPartObj>
    </w:sdtPr>
    <w:sdtContent>
      <w:p w14:paraId="771688B0" w14:textId="32615768" w:rsidR="004305C0" w:rsidRDefault="004305C0">
        <w:pPr>
          <w:pStyle w:val="Header"/>
          <w:jc w:val="center"/>
        </w:pPr>
        <w:r>
          <w:fldChar w:fldCharType="begin"/>
        </w:r>
        <w:r>
          <w:instrText>PAGE   \* MERGEFORMAT</w:instrText>
        </w:r>
        <w:r>
          <w:fldChar w:fldCharType="separate"/>
        </w:r>
        <w:r>
          <w:rPr>
            <w:lang w:val="lt-LT"/>
          </w:rPr>
          <w:t>2</w:t>
        </w:r>
        <w:r>
          <w:fldChar w:fldCharType="end"/>
        </w:r>
      </w:p>
    </w:sdtContent>
  </w:sdt>
  <w:p w14:paraId="4B252C08" w14:textId="77777777" w:rsidR="004305C0" w:rsidRDefault="00430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34CE" w14:textId="60949BF8" w:rsidR="00CF3C86" w:rsidRPr="00EA3A84" w:rsidRDefault="00CF3C86" w:rsidP="00CF3C86">
    <w:pPr>
      <w:pStyle w:val="Header"/>
      <w:tabs>
        <w:tab w:val="clear" w:pos="4680"/>
        <w:tab w:val="clear" w:pos="9360"/>
        <w:tab w:val="left" w:pos="9540"/>
      </w:tabs>
      <w:ind w:left="3060" w:right="800" w:firstLine="7290"/>
      <w:jc w:val="both"/>
      <w:rPr>
        <w:lang w:val="lt-LT"/>
      </w:rPr>
    </w:pPr>
    <w:r w:rsidRPr="00EA3A84">
      <w:rPr>
        <w:lang w:val="lt-LT"/>
      </w:rPr>
      <w:t xml:space="preserve">PATVIRTINTA </w:t>
    </w:r>
  </w:p>
  <w:p w14:paraId="55DB2678" w14:textId="77777777" w:rsidR="00CF3C86" w:rsidRPr="00EA3A84" w:rsidRDefault="00CF3C86" w:rsidP="00CF3C86">
    <w:pPr>
      <w:pStyle w:val="Header"/>
      <w:tabs>
        <w:tab w:val="clear" w:pos="4680"/>
        <w:tab w:val="clear" w:pos="9360"/>
        <w:tab w:val="left" w:pos="9540"/>
      </w:tabs>
      <w:ind w:left="3060" w:right="800" w:firstLine="7290"/>
      <w:jc w:val="both"/>
      <w:rPr>
        <w:lang w:val="lt-LT"/>
      </w:rPr>
    </w:pPr>
    <w:r w:rsidRPr="00EA3A84">
      <w:rPr>
        <w:lang w:val="lt-LT"/>
      </w:rPr>
      <w:t>Valstybinės ligonių kasos</w:t>
    </w:r>
  </w:p>
  <w:p w14:paraId="7A31F239" w14:textId="40305136" w:rsidR="00CF3C86" w:rsidRPr="00EA3A84" w:rsidRDefault="00F4165A" w:rsidP="00CF3C86">
    <w:pPr>
      <w:pStyle w:val="Header"/>
      <w:tabs>
        <w:tab w:val="clear" w:pos="4680"/>
        <w:tab w:val="clear" w:pos="9360"/>
        <w:tab w:val="left" w:pos="9540"/>
      </w:tabs>
      <w:ind w:left="3060" w:right="800" w:firstLine="7290"/>
      <w:jc w:val="both"/>
      <w:rPr>
        <w:lang w:val="lt-LT"/>
      </w:rPr>
    </w:pPr>
    <w:r w:rsidRPr="00EA3A84">
      <w:rPr>
        <w:lang w:val="lt-LT"/>
      </w:rPr>
      <w:t>p</w:t>
    </w:r>
    <w:r w:rsidR="00CF3C86" w:rsidRPr="00EA3A84">
      <w:rPr>
        <w:lang w:val="lt-LT"/>
      </w:rPr>
      <w:t>rie Sveikatos apsaugos ministerijos</w:t>
    </w:r>
  </w:p>
  <w:p w14:paraId="66DC08B7" w14:textId="7C592B81" w:rsidR="00CF3C86" w:rsidRPr="008A0301" w:rsidRDefault="008A0301" w:rsidP="00CF3C86">
    <w:pPr>
      <w:pStyle w:val="Header"/>
      <w:tabs>
        <w:tab w:val="clear" w:pos="4680"/>
        <w:tab w:val="clear" w:pos="9360"/>
        <w:tab w:val="left" w:pos="9540"/>
      </w:tabs>
      <w:ind w:left="3060" w:right="800" w:firstLine="7290"/>
      <w:jc w:val="both"/>
      <w:rPr>
        <w:lang w:val="lt-LT"/>
      </w:rPr>
    </w:pPr>
    <w:r w:rsidRPr="008A0301">
      <w:rPr>
        <w:lang w:val="lt-LT"/>
      </w:rPr>
      <w:t xml:space="preserve">kanclerio, </w:t>
    </w:r>
    <w:r w:rsidR="00CF3C86" w:rsidRPr="008A0301">
      <w:rPr>
        <w:lang w:val="lt-LT"/>
      </w:rPr>
      <w:t xml:space="preserve"> </w:t>
    </w:r>
  </w:p>
  <w:p w14:paraId="750098C0" w14:textId="03E6F079" w:rsidR="00CF3C86" w:rsidRPr="008A0301" w:rsidRDefault="00CF3C86" w:rsidP="00CF3C86">
    <w:pPr>
      <w:pStyle w:val="Header"/>
      <w:tabs>
        <w:tab w:val="clear" w:pos="4680"/>
        <w:tab w:val="clear" w:pos="9360"/>
        <w:tab w:val="left" w:pos="9540"/>
      </w:tabs>
      <w:ind w:left="3060" w:right="800" w:firstLine="7290"/>
      <w:jc w:val="both"/>
      <w:rPr>
        <w:lang w:val="lt-LT"/>
      </w:rPr>
    </w:pPr>
    <w:r w:rsidRPr="008A0301">
      <w:rPr>
        <w:lang w:val="lt-LT"/>
      </w:rPr>
      <w:t>laikinai vykdančio direktoriaus funkcijas</w:t>
    </w:r>
    <w:r w:rsidR="00A520C3" w:rsidRPr="008A0301">
      <w:rPr>
        <w:lang w:val="lt-LT"/>
      </w:rPr>
      <w:t>,</w:t>
    </w:r>
  </w:p>
  <w:p w14:paraId="10734BB4" w14:textId="49DB269B" w:rsidR="00CF3C86" w:rsidRPr="008A0301" w:rsidRDefault="008A0301" w:rsidP="00CF3C86">
    <w:pPr>
      <w:pStyle w:val="Header"/>
      <w:tabs>
        <w:tab w:val="clear" w:pos="4680"/>
        <w:tab w:val="clear" w:pos="9360"/>
        <w:tab w:val="left" w:pos="9540"/>
      </w:tabs>
      <w:ind w:left="3060" w:right="800" w:firstLine="7290"/>
      <w:jc w:val="both"/>
      <w:rPr>
        <w:lang w:val="lt-LT"/>
      </w:rPr>
    </w:pPr>
    <w:r w:rsidRPr="008A0301">
      <w:rPr>
        <w:lang w:val="lt-LT"/>
      </w:rPr>
      <w:t>Tomo Ragausko</w:t>
    </w:r>
  </w:p>
  <w:p w14:paraId="42119A11" w14:textId="77777777" w:rsidR="00CF3C86" w:rsidRDefault="00CF3C86" w:rsidP="00CF3C86">
    <w:pPr>
      <w:pStyle w:val="Header"/>
      <w:tabs>
        <w:tab w:val="clear" w:pos="4680"/>
        <w:tab w:val="clear" w:pos="9360"/>
        <w:tab w:val="left" w:pos="12885"/>
      </w:tabs>
      <w:jc w:val="both"/>
    </w:pPr>
  </w:p>
  <w:p w14:paraId="0E8765D9" w14:textId="77777777" w:rsidR="00CF3C86" w:rsidRDefault="00CF3C86" w:rsidP="00CF3C86">
    <w:pPr>
      <w:pStyle w:val="Header"/>
      <w:tabs>
        <w:tab w:val="clear" w:pos="4680"/>
        <w:tab w:val="clear" w:pos="9360"/>
        <w:tab w:val="left" w:pos="12885"/>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41CE"/>
    <w:multiLevelType w:val="hybridMultilevel"/>
    <w:tmpl w:val="64D47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FA3790"/>
    <w:multiLevelType w:val="hybridMultilevel"/>
    <w:tmpl w:val="9EC09384"/>
    <w:lvl w:ilvl="0" w:tplc="9A46DAF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2F15AC1"/>
    <w:multiLevelType w:val="multilevel"/>
    <w:tmpl w:val="210ADA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5725520">
    <w:abstractNumId w:val="2"/>
  </w:num>
  <w:num w:numId="2" w16cid:durableId="288629016">
    <w:abstractNumId w:val="1"/>
  </w:num>
  <w:num w:numId="3" w16cid:durableId="163795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F7"/>
    <w:rsid w:val="0000194B"/>
    <w:rsid w:val="00005F10"/>
    <w:rsid w:val="0002028D"/>
    <w:rsid w:val="000223C3"/>
    <w:rsid w:val="00031EE9"/>
    <w:rsid w:val="00043B8D"/>
    <w:rsid w:val="00066BCF"/>
    <w:rsid w:val="00084A7E"/>
    <w:rsid w:val="00093942"/>
    <w:rsid w:val="00096AA4"/>
    <w:rsid w:val="000A2BFB"/>
    <w:rsid w:val="000A69FB"/>
    <w:rsid w:val="000A7A2D"/>
    <w:rsid w:val="000B6135"/>
    <w:rsid w:val="000F2940"/>
    <w:rsid w:val="000F4DE0"/>
    <w:rsid w:val="001064CD"/>
    <w:rsid w:val="001622EB"/>
    <w:rsid w:val="00173C4D"/>
    <w:rsid w:val="00186C1A"/>
    <w:rsid w:val="001A7CDF"/>
    <w:rsid w:val="001B5842"/>
    <w:rsid w:val="001E42B9"/>
    <w:rsid w:val="002019E6"/>
    <w:rsid w:val="002058DA"/>
    <w:rsid w:val="00214FF7"/>
    <w:rsid w:val="00241A3C"/>
    <w:rsid w:val="00256C7F"/>
    <w:rsid w:val="002605D0"/>
    <w:rsid w:val="00264781"/>
    <w:rsid w:val="002906DB"/>
    <w:rsid w:val="00296984"/>
    <w:rsid w:val="002975DB"/>
    <w:rsid w:val="002A4A07"/>
    <w:rsid w:val="002C0BA0"/>
    <w:rsid w:val="002C6ADA"/>
    <w:rsid w:val="002D41D6"/>
    <w:rsid w:val="002D42E1"/>
    <w:rsid w:val="002D5EB8"/>
    <w:rsid w:val="00321E9F"/>
    <w:rsid w:val="00323266"/>
    <w:rsid w:val="00323907"/>
    <w:rsid w:val="0033792D"/>
    <w:rsid w:val="00345341"/>
    <w:rsid w:val="0035140D"/>
    <w:rsid w:val="00372265"/>
    <w:rsid w:val="00377256"/>
    <w:rsid w:val="00383C0D"/>
    <w:rsid w:val="0039135E"/>
    <w:rsid w:val="0039246C"/>
    <w:rsid w:val="003A60D7"/>
    <w:rsid w:val="003C4CA5"/>
    <w:rsid w:val="00402681"/>
    <w:rsid w:val="004305C0"/>
    <w:rsid w:val="00430F37"/>
    <w:rsid w:val="00432E02"/>
    <w:rsid w:val="00435E03"/>
    <w:rsid w:val="0044211C"/>
    <w:rsid w:val="00463DBD"/>
    <w:rsid w:val="004838A3"/>
    <w:rsid w:val="004B0F0A"/>
    <w:rsid w:val="004B2D6F"/>
    <w:rsid w:val="004B5298"/>
    <w:rsid w:val="004B5EEC"/>
    <w:rsid w:val="004D0D76"/>
    <w:rsid w:val="004F60AC"/>
    <w:rsid w:val="00556F6F"/>
    <w:rsid w:val="00583C93"/>
    <w:rsid w:val="005851F7"/>
    <w:rsid w:val="005E2C18"/>
    <w:rsid w:val="006160C5"/>
    <w:rsid w:val="006250CF"/>
    <w:rsid w:val="00627275"/>
    <w:rsid w:val="00630636"/>
    <w:rsid w:val="0064329E"/>
    <w:rsid w:val="006670F9"/>
    <w:rsid w:val="006C179E"/>
    <w:rsid w:val="006C1A50"/>
    <w:rsid w:val="006C504C"/>
    <w:rsid w:val="006C78BE"/>
    <w:rsid w:val="006F03FC"/>
    <w:rsid w:val="006F2F85"/>
    <w:rsid w:val="00702506"/>
    <w:rsid w:val="00717294"/>
    <w:rsid w:val="00721A1B"/>
    <w:rsid w:val="0073641E"/>
    <w:rsid w:val="007414CD"/>
    <w:rsid w:val="007418AE"/>
    <w:rsid w:val="00750AD0"/>
    <w:rsid w:val="0075228A"/>
    <w:rsid w:val="007541F0"/>
    <w:rsid w:val="00784134"/>
    <w:rsid w:val="007A5739"/>
    <w:rsid w:val="007B0B85"/>
    <w:rsid w:val="007D1E34"/>
    <w:rsid w:val="007D76B1"/>
    <w:rsid w:val="007F6C71"/>
    <w:rsid w:val="008423C9"/>
    <w:rsid w:val="008426E4"/>
    <w:rsid w:val="00865694"/>
    <w:rsid w:val="00871C75"/>
    <w:rsid w:val="008740BD"/>
    <w:rsid w:val="0087E4DB"/>
    <w:rsid w:val="0088229C"/>
    <w:rsid w:val="00896555"/>
    <w:rsid w:val="008A0301"/>
    <w:rsid w:val="008A56AC"/>
    <w:rsid w:val="008B46A6"/>
    <w:rsid w:val="008D4AF9"/>
    <w:rsid w:val="008F035D"/>
    <w:rsid w:val="008F6013"/>
    <w:rsid w:val="00904C8A"/>
    <w:rsid w:val="00936BBC"/>
    <w:rsid w:val="009627A7"/>
    <w:rsid w:val="00971E7B"/>
    <w:rsid w:val="0098258A"/>
    <w:rsid w:val="009946E0"/>
    <w:rsid w:val="00996184"/>
    <w:rsid w:val="009B2B6F"/>
    <w:rsid w:val="009D0AD9"/>
    <w:rsid w:val="009E26CD"/>
    <w:rsid w:val="009E681F"/>
    <w:rsid w:val="00A0679E"/>
    <w:rsid w:val="00A07F30"/>
    <w:rsid w:val="00A43E71"/>
    <w:rsid w:val="00A520C3"/>
    <w:rsid w:val="00A5413F"/>
    <w:rsid w:val="00A70FAF"/>
    <w:rsid w:val="00AA1116"/>
    <w:rsid w:val="00AA3369"/>
    <w:rsid w:val="00AA5B46"/>
    <w:rsid w:val="00AB7884"/>
    <w:rsid w:val="00AF2068"/>
    <w:rsid w:val="00B0692F"/>
    <w:rsid w:val="00B22039"/>
    <w:rsid w:val="00B31480"/>
    <w:rsid w:val="00B335CA"/>
    <w:rsid w:val="00B33A01"/>
    <w:rsid w:val="00B33D75"/>
    <w:rsid w:val="00B5777A"/>
    <w:rsid w:val="00B73BF7"/>
    <w:rsid w:val="00B73D77"/>
    <w:rsid w:val="00B940B2"/>
    <w:rsid w:val="00B96139"/>
    <w:rsid w:val="00BB14DE"/>
    <w:rsid w:val="00BB7CC4"/>
    <w:rsid w:val="00BC792F"/>
    <w:rsid w:val="00BF5864"/>
    <w:rsid w:val="00C07EB1"/>
    <w:rsid w:val="00C10D80"/>
    <w:rsid w:val="00C117C5"/>
    <w:rsid w:val="00C16696"/>
    <w:rsid w:val="00C24BA6"/>
    <w:rsid w:val="00C32DEE"/>
    <w:rsid w:val="00C37A99"/>
    <w:rsid w:val="00C85B15"/>
    <w:rsid w:val="00C90A4C"/>
    <w:rsid w:val="00CA0700"/>
    <w:rsid w:val="00CA410E"/>
    <w:rsid w:val="00CB6835"/>
    <w:rsid w:val="00CC1287"/>
    <w:rsid w:val="00CF3C86"/>
    <w:rsid w:val="00D253FA"/>
    <w:rsid w:val="00D440B4"/>
    <w:rsid w:val="00D44532"/>
    <w:rsid w:val="00D50771"/>
    <w:rsid w:val="00D63C6D"/>
    <w:rsid w:val="00D7513D"/>
    <w:rsid w:val="00D75E45"/>
    <w:rsid w:val="00D84DFE"/>
    <w:rsid w:val="00D863EC"/>
    <w:rsid w:val="00D90466"/>
    <w:rsid w:val="00D924B8"/>
    <w:rsid w:val="00D944F8"/>
    <w:rsid w:val="00DA6810"/>
    <w:rsid w:val="00DF0777"/>
    <w:rsid w:val="00DF580F"/>
    <w:rsid w:val="00E069CF"/>
    <w:rsid w:val="00E0769E"/>
    <w:rsid w:val="00E17557"/>
    <w:rsid w:val="00E20997"/>
    <w:rsid w:val="00E3439D"/>
    <w:rsid w:val="00E35610"/>
    <w:rsid w:val="00E47117"/>
    <w:rsid w:val="00E6634C"/>
    <w:rsid w:val="00E751A0"/>
    <w:rsid w:val="00E932CA"/>
    <w:rsid w:val="00E95715"/>
    <w:rsid w:val="00EA3A84"/>
    <w:rsid w:val="00EA4AC4"/>
    <w:rsid w:val="00EA5879"/>
    <w:rsid w:val="00EB30C5"/>
    <w:rsid w:val="00EE5B24"/>
    <w:rsid w:val="00EF15FC"/>
    <w:rsid w:val="00F027D1"/>
    <w:rsid w:val="00F4144E"/>
    <w:rsid w:val="00F4165A"/>
    <w:rsid w:val="00F45CE2"/>
    <w:rsid w:val="00F707B3"/>
    <w:rsid w:val="00F71A50"/>
    <w:rsid w:val="00F97B48"/>
    <w:rsid w:val="00FA10A1"/>
    <w:rsid w:val="00FA70E5"/>
    <w:rsid w:val="00FD6A07"/>
    <w:rsid w:val="00FF591B"/>
    <w:rsid w:val="00FF605D"/>
    <w:rsid w:val="07D93A90"/>
    <w:rsid w:val="0C182DD8"/>
    <w:rsid w:val="0D896070"/>
    <w:rsid w:val="0F10C50B"/>
    <w:rsid w:val="0F1A2CB5"/>
    <w:rsid w:val="118169E1"/>
    <w:rsid w:val="1CD0E753"/>
    <w:rsid w:val="1E980ED6"/>
    <w:rsid w:val="214D8A13"/>
    <w:rsid w:val="21A1CCB0"/>
    <w:rsid w:val="228CC542"/>
    <w:rsid w:val="2509F444"/>
    <w:rsid w:val="26934B1A"/>
    <w:rsid w:val="271F2319"/>
    <w:rsid w:val="2887C9E1"/>
    <w:rsid w:val="2932FBFC"/>
    <w:rsid w:val="2A529089"/>
    <w:rsid w:val="2B54619F"/>
    <w:rsid w:val="2BF3DBB3"/>
    <w:rsid w:val="2BF98ECA"/>
    <w:rsid w:val="30A48D98"/>
    <w:rsid w:val="30C2C121"/>
    <w:rsid w:val="30F5B066"/>
    <w:rsid w:val="318AC300"/>
    <w:rsid w:val="32260B11"/>
    <w:rsid w:val="336B1186"/>
    <w:rsid w:val="36A07409"/>
    <w:rsid w:val="376A704B"/>
    <w:rsid w:val="3D163EE2"/>
    <w:rsid w:val="3D42B5C4"/>
    <w:rsid w:val="3DEC655D"/>
    <w:rsid w:val="400AA1F2"/>
    <w:rsid w:val="41131C59"/>
    <w:rsid w:val="41C03EB9"/>
    <w:rsid w:val="42084D6E"/>
    <w:rsid w:val="443F1157"/>
    <w:rsid w:val="45F97407"/>
    <w:rsid w:val="4779EAB4"/>
    <w:rsid w:val="494DD934"/>
    <w:rsid w:val="4BDCEE70"/>
    <w:rsid w:val="4F28D2E5"/>
    <w:rsid w:val="501C0C1C"/>
    <w:rsid w:val="5062B3F7"/>
    <w:rsid w:val="50BCEEAE"/>
    <w:rsid w:val="51CA9E15"/>
    <w:rsid w:val="522C6F70"/>
    <w:rsid w:val="55CEA08A"/>
    <w:rsid w:val="55DEC66D"/>
    <w:rsid w:val="57AF4BBE"/>
    <w:rsid w:val="5CC7A59B"/>
    <w:rsid w:val="5E4821FD"/>
    <w:rsid w:val="5ED37BFD"/>
    <w:rsid w:val="61766912"/>
    <w:rsid w:val="62CBF838"/>
    <w:rsid w:val="63971F97"/>
    <w:rsid w:val="68404EB6"/>
    <w:rsid w:val="6842E43A"/>
    <w:rsid w:val="68D97C29"/>
    <w:rsid w:val="6BCCAE51"/>
    <w:rsid w:val="6D908A54"/>
    <w:rsid w:val="6E83CAFF"/>
    <w:rsid w:val="70D5283B"/>
    <w:rsid w:val="7245AEAB"/>
    <w:rsid w:val="75D89C87"/>
    <w:rsid w:val="7EF6D62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78EF"/>
  <w15:chartTrackingRefBased/>
  <w15:docId w15:val="{BB03E0BB-880C-4FBA-88CB-5FE4A76B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BC"/>
    <w:pPr>
      <w:spacing w:after="0" w:line="240" w:lineRule="auto"/>
    </w:pPr>
    <w:rPr>
      <w:rFonts w:ascii="Times New Roman" w:eastAsia="Times New Roman" w:hAnsi="Times New Roman" w:cs="Times New Roman"/>
      <w:kern w:val="0"/>
      <w:sz w:val="20"/>
      <w:szCs w:val="20"/>
      <w:lang w:val="en-AU"/>
    </w:rPr>
  </w:style>
  <w:style w:type="paragraph" w:styleId="Heading1">
    <w:name w:val="heading 1"/>
    <w:basedOn w:val="Normal"/>
    <w:next w:val="Normal"/>
    <w:link w:val="Heading1Char"/>
    <w:uiPriority w:val="9"/>
    <w:qFormat/>
    <w:rsid w:val="00585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1F7"/>
    <w:rPr>
      <w:rFonts w:eastAsiaTheme="majorEastAsia" w:cstheme="majorBidi"/>
      <w:color w:val="272727" w:themeColor="text1" w:themeTint="D8"/>
    </w:rPr>
  </w:style>
  <w:style w:type="paragraph" w:styleId="Title">
    <w:name w:val="Title"/>
    <w:basedOn w:val="Normal"/>
    <w:next w:val="Normal"/>
    <w:link w:val="TitleChar"/>
    <w:uiPriority w:val="10"/>
    <w:qFormat/>
    <w:rsid w:val="00585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1F7"/>
    <w:pPr>
      <w:spacing w:before="160"/>
      <w:jc w:val="center"/>
    </w:pPr>
    <w:rPr>
      <w:i/>
      <w:iCs/>
      <w:color w:val="404040" w:themeColor="text1" w:themeTint="BF"/>
    </w:rPr>
  </w:style>
  <w:style w:type="character" w:customStyle="1" w:styleId="QuoteChar">
    <w:name w:val="Quote Char"/>
    <w:basedOn w:val="DefaultParagraphFont"/>
    <w:link w:val="Quote"/>
    <w:uiPriority w:val="29"/>
    <w:rsid w:val="005851F7"/>
    <w:rPr>
      <w:i/>
      <w:iCs/>
      <w:color w:val="404040" w:themeColor="text1" w:themeTint="BF"/>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List Paragr1"/>
    <w:basedOn w:val="Normal"/>
    <w:link w:val="ListParagraphChar"/>
    <w:uiPriority w:val="34"/>
    <w:qFormat/>
    <w:rsid w:val="005851F7"/>
    <w:pPr>
      <w:ind w:left="720"/>
      <w:contextualSpacing/>
    </w:pPr>
  </w:style>
  <w:style w:type="character" w:styleId="IntenseEmphasis">
    <w:name w:val="Intense Emphasis"/>
    <w:basedOn w:val="DefaultParagraphFont"/>
    <w:uiPriority w:val="21"/>
    <w:qFormat/>
    <w:rsid w:val="005851F7"/>
    <w:rPr>
      <w:i/>
      <w:iCs/>
      <w:color w:val="0F4761" w:themeColor="accent1" w:themeShade="BF"/>
    </w:rPr>
  </w:style>
  <w:style w:type="paragraph" w:styleId="IntenseQuote">
    <w:name w:val="Intense Quote"/>
    <w:basedOn w:val="Normal"/>
    <w:next w:val="Normal"/>
    <w:link w:val="IntenseQuoteChar"/>
    <w:uiPriority w:val="30"/>
    <w:qFormat/>
    <w:rsid w:val="00585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1F7"/>
    <w:rPr>
      <w:i/>
      <w:iCs/>
      <w:color w:val="0F4761" w:themeColor="accent1" w:themeShade="BF"/>
    </w:rPr>
  </w:style>
  <w:style w:type="character" w:styleId="IntenseReference">
    <w:name w:val="Intense Reference"/>
    <w:basedOn w:val="DefaultParagraphFont"/>
    <w:uiPriority w:val="32"/>
    <w:qFormat/>
    <w:rsid w:val="005851F7"/>
    <w:rPr>
      <w:b/>
      <w:bCs/>
      <w:smallCaps/>
      <w:color w:val="0F4761" w:themeColor="accent1" w:themeShade="BF"/>
      <w:spacing w:val="5"/>
    </w:rPr>
  </w:style>
  <w:style w:type="paragraph" w:styleId="NormalWeb">
    <w:name w:val="Normal (Web)"/>
    <w:basedOn w:val="Normal"/>
    <w:uiPriority w:val="99"/>
    <w:unhideWhenUsed/>
    <w:rsid w:val="00936BBC"/>
    <w:pPr>
      <w:spacing w:before="100" w:beforeAutospacing="1" w:after="100" w:afterAutospacing="1"/>
    </w:pPr>
    <w:rPr>
      <w:sz w:val="24"/>
      <w:szCs w:val="24"/>
      <w:lang w:val="lt-LT" w:eastAsia="lt-LT"/>
    </w:rPr>
  </w:style>
  <w:style w:type="table" w:styleId="TableGrid">
    <w:name w:val="Table Grid"/>
    <w:basedOn w:val="TableNormal"/>
    <w:rsid w:val="00936BBC"/>
    <w:pPr>
      <w:spacing w:after="0" w:line="240" w:lineRule="auto"/>
    </w:pPr>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936BBC"/>
    <w:rPr>
      <w:rFonts w:ascii="Arial" w:eastAsia="Calibri" w:hAnsi="Arial"/>
      <w:lang w:val="lt-LT" w:eastAsia="lt-LT"/>
    </w:rPr>
  </w:style>
  <w:style w:type="character" w:customStyle="1" w:styleId="FootnoteTextChar">
    <w:name w:val="Footnote Text Char"/>
    <w:basedOn w:val="DefaultParagraphFont"/>
    <w:link w:val="FootnoteText"/>
    <w:uiPriority w:val="99"/>
    <w:rsid w:val="00936BBC"/>
    <w:rPr>
      <w:rFonts w:ascii="Arial" w:eastAsia="Calibri" w:hAnsi="Arial" w:cs="Times New Roman"/>
      <w:kern w:val="0"/>
      <w:sz w:val="20"/>
      <w:szCs w:val="20"/>
      <w:lang w:eastAsia="lt-LT"/>
    </w:rPr>
  </w:style>
  <w:style w:type="character" w:styleId="FootnoteReference">
    <w:name w:val="footnote reference"/>
    <w:uiPriority w:val="99"/>
    <w:rsid w:val="00936BBC"/>
    <w:rPr>
      <w:rFonts w:cs="Times New Roman"/>
      <w:vertAlign w:val="superscript"/>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rsid w:val="00936BBC"/>
  </w:style>
  <w:style w:type="character" w:styleId="Strong">
    <w:name w:val="Strong"/>
    <w:basedOn w:val="DefaultParagraphFont"/>
    <w:uiPriority w:val="22"/>
    <w:qFormat/>
    <w:rsid w:val="00D944F8"/>
    <w:rPr>
      <w:b/>
      <w:bCs/>
    </w:rPr>
  </w:style>
  <w:style w:type="character" w:styleId="Hyperlink">
    <w:name w:val="Hyperlink"/>
    <w:basedOn w:val="DefaultParagraphFont"/>
    <w:uiPriority w:val="99"/>
    <w:unhideWhenUsed/>
    <w:rsid w:val="522C6F70"/>
    <w:rPr>
      <w:color w:val="467886"/>
      <w:u w:val="single"/>
    </w:rPr>
  </w:style>
  <w:style w:type="paragraph" w:styleId="Header">
    <w:name w:val="header"/>
    <w:basedOn w:val="Normal"/>
    <w:link w:val="HeaderChar"/>
    <w:uiPriority w:val="99"/>
    <w:unhideWhenUsed/>
    <w:rsid w:val="00EB30C5"/>
    <w:pPr>
      <w:tabs>
        <w:tab w:val="center" w:pos="4680"/>
        <w:tab w:val="right" w:pos="9360"/>
      </w:tabs>
    </w:pPr>
  </w:style>
  <w:style w:type="character" w:customStyle="1" w:styleId="HeaderChar">
    <w:name w:val="Header Char"/>
    <w:basedOn w:val="DefaultParagraphFont"/>
    <w:link w:val="Header"/>
    <w:uiPriority w:val="99"/>
    <w:rsid w:val="00EB30C5"/>
    <w:rPr>
      <w:rFonts w:ascii="Times New Roman" w:eastAsia="Times New Roman" w:hAnsi="Times New Roman" w:cs="Times New Roman"/>
      <w:kern w:val="0"/>
      <w:sz w:val="20"/>
      <w:szCs w:val="20"/>
      <w:lang w:val="en-AU"/>
    </w:rPr>
  </w:style>
  <w:style w:type="paragraph" w:styleId="Footer">
    <w:name w:val="footer"/>
    <w:basedOn w:val="Normal"/>
    <w:link w:val="FooterChar"/>
    <w:uiPriority w:val="99"/>
    <w:unhideWhenUsed/>
    <w:rsid w:val="00EB30C5"/>
    <w:pPr>
      <w:tabs>
        <w:tab w:val="center" w:pos="4680"/>
        <w:tab w:val="right" w:pos="9360"/>
      </w:tabs>
    </w:pPr>
  </w:style>
  <w:style w:type="character" w:customStyle="1" w:styleId="FooterChar">
    <w:name w:val="Footer Char"/>
    <w:basedOn w:val="DefaultParagraphFont"/>
    <w:link w:val="Footer"/>
    <w:uiPriority w:val="99"/>
    <w:rsid w:val="00EB30C5"/>
    <w:rPr>
      <w:rFonts w:ascii="Times New Roman" w:eastAsia="Times New Roman" w:hAnsi="Times New Roman" w:cs="Times New Roman"/>
      <w:kern w:val="0"/>
      <w:sz w:val="20"/>
      <w:szCs w:val="20"/>
      <w:lang w:val="en-AU"/>
    </w:rPr>
  </w:style>
  <w:style w:type="paragraph" w:styleId="Revision">
    <w:name w:val="Revision"/>
    <w:hidden/>
    <w:uiPriority w:val="99"/>
    <w:semiHidden/>
    <w:rsid w:val="002D5EB8"/>
    <w:pPr>
      <w:spacing w:after="0" w:line="240" w:lineRule="auto"/>
    </w:pPr>
    <w:rPr>
      <w:rFonts w:ascii="Times New Roman" w:eastAsia="Times New Roman" w:hAnsi="Times New Roman" w:cs="Times New Roman"/>
      <w:kern w:val="0"/>
      <w:sz w:val="20"/>
      <w:szCs w:val="20"/>
      <w:lang w:val="en-AU"/>
    </w:rPr>
  </w:style>
  <w:style w:type="paragraph" w:styleId="BodyText">
    <w:name w:val="Body Text"/>
    <w:basedOn w:val="Normal"/>
    <w:link w:val="BodyTextChar"/>
    <w:uiPriority w:val="1"/>
    <w:semiHidden/>
    <w:unhideWhenUsed/>
    <w:qFormat/>
    <w:rsid w:val="0098258A"/>
    <w:pPr>
      <w:widowControl w:val="0"/>
      <w:autoSpaceDE w:val="0"/>
      <w:autoSpaceDN w:val="0"/>
      <w:ind w:left="2"/>
      <w:jc w:val="both"/>
    </w:pPr>
    <w:rPr>
      <w:sz w:val="24"/>
      <w:szCs w:val="24"/>
      <w:lang w:val="lt-LT"/>
      <w14:ligatures w14:val="none"/>
    </w:rPr>
  </w:style>
  <w:style w:type="character" w:customStyle="1" w:styleId="BodyTextChar">
    <w:name w:val="Body Text Char"/>
    <w:basedOn w:val="DefaultParagraphFont"/>
    <w:link w:val="BodyText"/>
    <w:uiPriority w:val="1"/>
    <w:semiHidden/>
    <w:rsid w:val="0098258A"/>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B46A6"/>
    <w:rPr>
      <w:sz w:val="16"/>
      <w:szCs w:val="16"/>
    </w:rPr>
  </w:style>
  <w:style w:type="paragraph" w:styleId="CommentText">
    <w:name w:val="annotation text"/>
    <w:basedOn w:val="Normal"/>
    <w:link w:val="CommentTextChar"/>
    <w:uiPriority w:val="99"/>
    <w:unhideWhenUsed/>
    <w:rsid w:val="008B46A6"/>
  </w:style>
  <w:style w:type="character" w:customStyle="1" w:styleId="CommentTextChar">
    <w:name w:val="Comment Text Char"/>
    <w:basedOn w:val="DefaultParagraphFont"/>
    <w:link w:val="CommentText"/>
    <w:uiPriority w:val="99"/>
    <w:rsid w:val="008B46A6"/>
    <w:rPr>
      <w:rFonts w:ascii="Times New Roman" w:eastAsia="Times New Roman" w:hAnsi="Times New Roman" w:cs="Times New Roman"/>
      <w:kern w:val="0"/>
      <w:sz w:val="20"/>
      <w:szCs w:val="20"/>
      <w:lang w:val="en-AU"/>
    </w:rPr>
  </w:style>
  <w:style w:type="paragraph" w:styleId="CommentSubject">
    <w:name w:val="annotation subject"/>
    <w:basedOn w:val="CommentText"/>
    <w:next w:val="CommentText"/>
    <w:link w:val="CommentSubjectChar"/>
    <w:uiPriority w:val="99"/>
    <w:semiHidden/>
    <w:unhideWhenUsed/>
    <w:rsid w:val="008B46A6"/>
    <w:rPr>
      <w:b/>
      <w:bCs/>
    </w:rPr>
  </w:style>
  <w:style w:type="character" w:customStyle="1" w:styleId="CommentSubjectChar">
    <w:name w:val="Comment Subject Char"/>
    <w:basedOn w:val="CommentTextChar"/>
    <w:link w:val="CommentSubject"/>
    <w:uiPriority w:val="99"/>
    <w:semiHidden/>
    <w:rsid w:val="008B46A6"/>
    <w:rPr>
      <w:rFonts w:ascii="Times New Roman" w:eastAsia="Times New Roman" w:hAnsi="Times New Roman" w:cs="Times New Roman"/>
      <w:b/>
      <w:bCs/>
      <w:kern w:val="0"/>
      <w:sz w:val="20"/>
      <w:szCs w:val="20"/>
      <w:lang w:val="en-AU"/>
    </w:rPr>
  </w:style>
  <w:style w:type="character" w:styleId="UnresolvedMention">
    <w:name w:val="Unresolved Mention"/>
    <w:basedOn w:val="DefaultParagraphFont"/>
    <w:uiPriority w:val="99"/>
    <w:semiHidden/>
    <w:unhideWhenUsed/>
    <w:rsid w:val="000F2940"/>
    <w:rPr>
      <w:color w:val="605E5C"/>
      <w:shd w:val="clear" w:color="auto" w:fill="E1DFDD"/>
    </w:rPr>
  </w:style>
  <w:style w:type="character" w:styleId="FollowedHyperlink">
    <w:name w:val="FollowedHyperlink"/>
    <w:basedOn w:val="DefaultParagraphFont"/>
    <w:uiPriority w:val="99"/>
    <w:semiHidden/>
    <w:unhideWhenUsed/>
    <w:rsid w:val="00FF59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1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acd811d1c47311f0b638c8da62ec90d0?positionInSearchResults=0&amp;searchModelUUID=f2df49f4-89d6-45b8-a240-3d340b83251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8911-D90E-4567-AF5C-39A9C0BF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9408</Words>
  <Characters>5364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Špokas</dc:creator>
  <cp:keywords/>
  <dc:description/>
  <cp:lastModifiedBy>Jokūbas Špokas</cp:lastModifiedBy>
  <cp:revision>3</cp:revision>
  <dcterms:created xsi:type="dcterms:W3CDTF">2026-01-07T07:42:00Z</dcterms:created>
  <dcterms:modified xsi:type="dcterms:W3CDTF">2026-01-07T07:49:00Z</dcterms:modified>
</cp:coreProperties>
</file>