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442B" w14:textId="44F6DAE4" w:rsidR="00B54D2E" w:rsidRPr="00B52FA8" w:rsidRDefault="00B54D2E" w:rsidP="00221B3C">
      <w:pPr>
        <w:jc w:val="center"/>
        <w:rPr>
          <w:rFonts w:ascii="Times New Roman" w:hAnsi="Times New Roman" w:cs="Times New Roman"/>
          <w:b/>
          <w:bCs/>
          <w:sz w:val="28"/>
          <w:szCs w:val="28"/>
        </w:rPr>
      </w:pPr>
      <w:bookmarkStart w:id="0" w:name="_Hlk206571720"/>
      <w:bookmarkStart w:id="1" w:name="_Hlk206571270"/>
      <w:r w:rsidRPr="00B52FA8">
        <w:rPr>
          <w:rFonts w:ascii="Times New Roman" w:hAnsi="Times New Roman" w:cs="Times New Roman"/>
          <w:b/>
          <w:bCs/>
          <w:sz w:val="28"/>
          <w:szCs w:val="28"/>
        </w:rPr>
        <w:t xml:space="preserve">VALSTYBINĖ LIGONIŲ KASA PRIE SVEIKATOS </w:t>
      </w:r>
      <w:r w:rsidR="009423CC" w:rsidRPr="00B52FA8">
        <w:rPr>
          <w:rFonts w:ascii="Times New Roman" w:hAnsi="Times New Roman" w:cs="Times New Roman"/>
          <w:b/>
          <w:bCs/>
          <w:sz w:val="28"/>
          <w:szCs w:val="28"/>
        </w:rPr>
        <w:t>AP</w:t>
      </w:r>
      <w:r w:rsidRPr="00B52FA8">
        <w:rPr>
          <w:rFonts w:ascii="Times New Roman" w:hAnsi="Times New Roman" w:cs="Times New Roman"/>
          <w:b/>
          <w:bCs/>
          <w:sz w:val="28"/>
          <w:szCs w:val="28"/>
        </w:rPr>
        <w:t>SAUGOS MINISTERIJOS</w:t>
      </w:r>
    </w:p>
    <w:p w14:paraId="5A8078DF" w14:textId="02EDD6DC" w:rsidR="00B52FA8" w:rsidRPr="00B52FA8" w:rsidRDefault="00B52FA8" w:rsidP="00B52FA8">
      <w:pPr>
        <w:jc w:val="center"/>
        <w:rPr>
          <w:rFonts w:ascii="Times New Roman" w:hAnsi="Times New Roman" w:cs="Times New Roman"/>
          <w:b/>
          <w:bCs/>
          <w:sz w:val="28"/>
          <w:szCs w:val="28"/>
        </w:rPr>
      </w:pPr>
      <w:r w:rsidRPr="00B52FA8">
        <w:rPr>
          <w:rFonts w:ascii="Times New Roman" w:hAnsi="Times New Roman" w:cs="Times New Roman"/>
          <w:b/>
          <w:bCs/>
          <w:sz w:val="28"/>
          <w:szCs w:val="28"/>
        </w:rPr>
        <w:t xml:space="preserve">PAGAL </w:t>
      </w:r>
      <w:r w:rsidR="00EC443A">
        <w:rPr>
          <w:rFonts w:ascii="Times New Roman" w:hAnsi="Times New Roman" w:cs="Times New Roman"/>
          <w:b/>
          <w:bCs/>
          <w:sz w:val="28"/>
          <w:szCs w:val="28"/>
        </w:rPr>
        <w:t>KLAIPĖDOS</w:t>
      </w:r>
      <w:r w:rsidRPr="00B52FA8">
        <w:rPr>
          <w:rFonts w:ascii="Times New Roman" w:hAnsi="Times New Roman" w:cs="Times New Roman"/>
          <w:b/>
          <w:bCs/>
          <w:sz w:val="28"/>
          <w:szCs w:val="28"/>
        </w:rPr>
        <w:t xml:space="preserve"> TERITORINĖS LIGONIŲ KASOS DUOMENIS</w:t>
      </w:r>
    </w:p>
    <w:p w14:paraId="427CCD55" w14:textId="77777777" w:rsidR="00221B3C" w:rsidRPr="0078322A" w:rsidRDefault="00221B3C" w:rsidP="00221B3C">
      <w:pPr>
        <w:jc w:val="center"/>
        <w:rPr>
          <w:rFonts w:ascii="Times New Roman" w:hAnsi="Times New Roman" w:cs="Times New Roman"/>
          <w:b/>
          <w:bCs/>
          <w:sz w:val="24"/>
          <w:szCs w:val="24"/>
        </w:rPr>
      </w:pPr>
    </w:p>
    <w:p w14:paraId="08E00519" w14:textId="77777777" w:rsidR="00221B3C" w:rsidRPr="0078322A" w:rsidRDefault="00221B3C" w:rsidP="00221B3C">
      <w:pPr>
        <w:jc w:val="center"/>
        <w:rPr>
          <w:rFonts w:ascii="Times New Roman" w:hAnsi="Times New Roman" w:cs="Times New Roman"/>
          <w:b/>
          <w:bCs/>
          <w:sz w:val="24"/>
          <w:szCs w:val="24"/>
        </w:rPr>
      </w:pPr>
    </w:p>
    <w:p w14:paraId="792664E6" w14:textId="77777777" w:rsidR="00221B3C" w:rsidRPr="0078322A" w:rsidRDefault="00221B3C" w:rsidP="00221B3C">
      <w:pPr>
        <w:jc w:val="center"/>
        <w:rPr>
          <w:rFonts w:ascii="Times New Roman" w:hAnsi="Times New Roman" w:cs="Times New Roman"/>
          <w:b/>
          <w:bCs/>
          <w:sz w:val="24"/>
          <w:szCs w:val="24"/>
        </w:rPr>
      </w:pPr>
    </w:p>
    <w:p w14:paraId="1B9A3153" w14:textId="77777777" w:rsidR="00221B3C" w:rsidRPr="0078322A" w:rsidRDefault="00221B3C" w:rsidP="00221B3C">
      <w:pPr>
        <w:jc w:val="center"/>
        <w:rPr>
          <w:rFonts w:ascii="Times New Roman" w:hAnsi="Times New Roman" w:cs="Times New Roman"/>
          <w:b/>
          <w:bCs/>
          <w:sz w:val="24"/>
          <w:szCs w:val="24"/>
        </w:rPr>
      </w:pPr>
    </w:p>
    <w:p w14:paraId="1DBEEB0B" w14:textId="77777777" w:rsidR="00221B3C" w:rsidRPr="0078322A" w:rsidRDefault="00221B3C" w:rsidP="00221B3C">
      <w:pPr>
        <w:jc w:val="center"/>
        <w:rPr>
          <w:rFonts w:ascii="Times New Roman" w:hAnsi="Times New Roman" w:cs="Times New Roman"/>
          <w:b/>
          <w:bCs/>
          <w:sz w:val="24"/>
          <w:szCs w:val="24"/>
        </w:rPr>
      </w:pPr>
    </w:p>
    <w:p w14:paraId="34BCE273" w14:textId="77777777" w:rsidR="00221B3C" w:rsidRPr="0078322A" w:rsidRDefault="00221B3C" w:rsidP="00221B3C">
      <w:pPr>
        <w:jc w:val="center"/>
        <w:rPr>
          <w:rFonts w:ascii="Times New Roman" w:hAnsi="Times New Roman" w:cs="Times New Roman"/>
          <w:b/>
          <w:bCs/>
          <w:sz w:val="24"/>
          <w:szCs w:val="24"/>
        </w:rPr>
      </w:pPr>
    </w:p>
    <w:p w14:paraId="61AB9C5C" w14:textId="77777777" w:rsidR="00221B3C" w:rsidRPr="0078322A" w:rsidRDefault="00221B3C" w:rsidP="00221B3C">
      <w:pPr>
        <w:jc w:val="center"/>
        <w:rPr>
          <w:rFonts w:ascii="Times New Roman" w:hAnsi="Times New Roman" w:cs="Times New Roman"/>
          <w:b/>
          <w:bCs/>
          <w:sz w:val="24"/>
          <w:szCs w:val="24"/>
        </w:rPr>
      </w:pPr>
    </w:p>
    <w:p w14:paraId="2E892762" w14:textId="77777777" w:rsidR="00221B3C" w:rsidRPr="0078322A" w:rsidRDefault="00221B3C" w:rsidP="00221B3C">
      <w:pPr>
        <w:jc w:val="center"/>
        <w:rPr>
          <w:rFonts w:ascii="Times New Roman" w:hAnsi="Times New Roman" w:cs="Times New Roman"/>
          <w:b/>
          <w:bCs/>
          <w:sz w:val="24"/>
          <w:szCs w:val="24"/>
        </w:rPr>
      </w:pPr>
    </w:p>
    <w:p w14:paraId="4220265B" w14:textId="77777777" w:rsidR="00221B3C" w:rsidRPr="0078322A" w:rsidRDefault="00221B3C" w:rsidP="00221B3C">
      <w:pPr>
        <w:jc w:val="center"/>
        <w:rPr>
          <w:rFonts w:ascii="Times New Roman" w:hAnsi="Times New Roman" w:cs="Times New Roman"/>
          <w:b/>
          <w:bCs/>
          <w:sz w:val="24"/>
          <w:szCs w:val="24"/>
        </w:rPr>
      </w:pPr>
    </w:p>
    <w:p w14:paraId="5F64E2D3" w14:textId="4F6CC04E" w:rsidR="00B54D2E" w:rsidRPr="00B52FA8" w:rsidRDefault="00B52FA8"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ADMINISTRUOTO PRIVALOMOJO SVEIKATOS DRAUDIMO FONDO</w:t>
      </w:r>
    </w:p>
    <w:p w14:paraId="4727F445" w14:textId="77777777" w:rsidR="00B52FA8" w:rsidRPr="00B52FA8" w:rsidRDefault="00B52FA8"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2025 M. SAUSIO-BIRŽELIO MĖNESIŲ</w:t>
      </w:r>
    </w:p>
    <w:p w14:paraId="23C7E1DF" w14:textId="4B672F2A" w:rsidR="009423CC" w:rsidRPr="00B52FA8" w:rsidRDefault="009423CC" w:rsidP="00221B3C">
      <w:pPr>
        <w:jc w:val="center"/>
        <w:rPr>
          <w:rFonts w:ascii="Times New Roman" w:hAnsi="Times New Roman" w:cs="Times New Roman"/>
          <w:b/>
          <w:bCs/>
          <w:sz w:val="28"/>
          <w:szCs w:val="28"/>
        </w:rPr>
      </w:pPr>
      <w:r w:rsidRPr="00B52FA8">
        <w:rPr>
          <w:rFonts w:ascii="Times New Roman" w:hAnsi="Times New Roman" w:cs="Times New Roman"/>
          <w:b/>
          <w:bCs/>
          <w:sz w:val="28"/>
          <w:szCs w:val="28"/>
        </w:rPr>
        <w:t>FINANSINIŲ ATASKAITŲ RINKINYS</w:t>
      </w:r>
    </w:p>
    <w:p w14:paraId="62E41256" w14:textId="471FD023" w:rsidR="00221B3C" w:rsidRPr="0078322A" w:rsidRDefault="00221B3C" w:rsidP="00221B3C">
      <w:pPr>
        <w:jc w:val="center"/>
        <w:rPr>
          <w:rFonts w:ascii="Times New Roman" w:hAnsi="Times New Roman" w:cs="Times New Roman"/>
          <w:sz w:val="36"/>
          <w:szCs w:val="36"/>
        </w:rPr>
      </w:pPr>
    </w:p>
    <w:p w14:paraId="251CBDC5" w14:textId="77777777" w:rsidR="009423CC" w:rsidRPr="0078322A" w:rsidRDefault="009423CC" w:rsidP="00221B3C">
      <w:pPr>
        <w:jc w:val="center"/>
        <w:rPr>
          <w:rFonts w:ascii="Times New Roman" w:hAnsi="Times New Roman" w:cs="Times New Roman"/>
          <w:sz w:val="36"/>
          <w:szCs w:val="36"/>
        </w:rPr>
      </w:pPr>
    </w:p>
    <w:p w14:paraId="4E3E52D6" w14:textId="77777777" w:rsidR="00221B3C" w:rsidRPr="0078322A" w:rsidRDefault="00221B3C" w:rsidP="00221B3C">
      <w:pPr>
        <w:jc w:val="center"/>
        <w:rPr>
          <w:rFonts w:ascii="Times New Roman" w:hAnsi="Times New Roman" w:cs="Times New Roman"/>
          <w:b/>
          <w:bCs/>
          <w:sz w:val="24"/>
          <w:szCs w:val="24"/>
        </w:rPr>
      </w:pPr>
    </w:p>
    <w:p w14:paraId="1F52783C" w14:textId="77777777" w:rsidR="00221B3C" w:rsidRPr="0078322A" w:rsidRDefault="00221B3C" w:rsidP="009423CC">
      <w:pPr>
        <w:rPr>
          <w:rFonts w:ascii="Times New Roman" w:hAnsi="Times New Roman" w:cs="Times New Roman"/>
          <w:b/>
          <w:bCs/>
          <w:sz w:val="24"/>
          <w:szCs w:val="24"/>
        </w:rPr>
      </w:pPr>
    </w:p>
    <w:p w14:paraId="209C1968" w14:textId="77777777" w:rsidR="009423CC" w:rsidRPr="0078322A" w:rsidRDefault="009423CC" w:rsidP="009423CC">
      <w:pPr>
        <w:rPr>
          <w:rFonts w:ascii="Times New Roman" w:hAnsi="Times New Roman" w:cs="Times New Roman"/>
          <w:b/>
          <w:bCs/>
          <w:sz w:val="24"/>
          <w:szCs w:val="24"/>
        </w:rPr>
      </w:pPr>
    </w:p>
    <w:p w14:paraId="6CEC9BDF" w14:textId="77777777" w:rsidR="00221B3C" w:rsidRPr="0078322A" w:rsidRDefault="00221B3C" w:rsidP="00221B3C">
      <w:pPr>
        <w:jc w:val="center"/>
        <w:rPr>
          <w:rFonts w:ascii="Times New Roman" w:hAnsi="Times New Roman" w:cs="Times New Roman"/>
          <w:b/>
          <w:bCs/>
          <w:sz w:val="24"/>
          <w:szCs w:val="24"/>
        </w:rPr>
      </w:pPr>
    </w:p>
    <w:p w14:paraId="3387F5AA" w14:textId="77777777" w:rsidR="00221B3C" w:rsidRPr="0078322A" w:rsidRDefault="00221B3C" w:rsidP="00221B3C">
      <w:pPr>
        <w:jc w:val="center"/>
        <w:rPr>
          <w:rFonts w:ascii="Times New Roman" w:hAnsi="Times New Roman" w:cs="Times New Roman"/>
          <w:b/>
          <w:bCs/>
          <w:sz w:val="24"/>
          <w:szCs w:val="24"/>
        </w:rPr>
      </w:pPr>
    </w:p>
    <w:p w14:paraId="0D437CFC" w14:textId="77777777" w:rsidR="00221B3C" w:rsidRPr="0078322A" w:rsidRDefault="00221B3C" w:rsidP="00B54D2E">
      <w:pPr>
        <w:rPr>
          <w:rFonts w:ascii="Times New Roman" w:hAnsi="Times New Roman" w:cs="Times New Roman"/>
          <w:b/>
          <w:bCs/>
          <w:sz w:val="24"/>
          <w:szCs w:val="24"/>
        </w:rPr>
      </w:pPr>
    </w:p>
    <w:p w14:paraId="1CCEE3BD" w14:textId="77777777" w:rsidR="00221B3C" w:rsidRDefault="00221B3C" w:rsidP="00221B3C">
      <w:pPr>
        <w:rPr>
          <w:rFonts w:ascii="Times New Roman" w:hAnsi="Times New Roman" w:cs="Times New Roman"/>
          <w:b/>
          <w:bCs/>
          <w:sz w:val="24"/>
          <w:szCs w:val="24"/>
        </w:rPr>
      </w:pPr>
    </w:p>
    <w:p w14:paraId="19A14115" w14:textId="77777777" w:rsidR="00B52FA8" w:rsidRDefault="00B52FA8" w:rsidP="00221B3C">
      <w:pPr>
        <w:rPr>
          <w:rFonts w:ascii="Times New Roman" w:hAnsi="Times New Roman" w:cs="Times New Roman"/>
          <w:b/>
          <w:bCs/>
          <w:sz w:val="24"/>
          <w:szCs w:val="24"/>
        </w:rPr>
      </w:pPr>
    </w:p>
    <w:p w14:paraId="78EED575" w14:textId="77777777" w:rsidR="00B52FA8" w:rsidRDefault="00B52FA8" w:rsidP="00221B3C">
      <w:pPr>
        <w:rPr>
          <w:rFonts w:ascii="Times New Roman" w:hAnsi="Times New Roman" w:cs="Times New Roman"/>
          <w:b/>
          <w:bCs/>
          <w:sz w:val="24"/>
          <w:szCs w:val="24"/>
        </w:rPr>
      </w:pPr>
    </w:p>
    <w:p w14:paraId="2BCBBDD1" w14:textId="77777777" w:rsidR="00B52FA8" w:rsidRDefault="00B52FA8" w:rsidP="00221B3C">
      <w:pPr>
        <w:rPr>
          <w:rFonts w:ascii="Times New Roman" w:hAnsi="Times New Roman" w:cs="Times New Roman"/>
          <w:b/>
          <w:bCs/>
          <w:sz w:val="24"/>
          <w:szCs w:val="24"/>
        </w:rPr>
      </w:pPr>
    </w:p>
    <w:p w14:paraId="581B4041" w14:textId="77777777" w:rsidR="00B52FA8" w:rsidRPr="0078322A" w:rsidRDefault="00B52FA8" w:rsidP="00221B3C">
      <w:pPr>
        <w:rPr>
          <w:rFonts w:ascii="Times New Roman" w:hAnsi="Times New Roman" w:cs="Times New Roman"/>
          <w:b/>
          <w:bCs/>
          <w:sz w:val="24"/>
          <w:szCs w:val="24"/>
        </w:rPr>
      </w:pPr>
    </w:p>
    <w:p w14:paraId="55989FA0" w14:textId="77777777" w:rsidR="00B54D2E" w:rsidRPr="0078322A" w:rsidRDefault="00B54D2E" w:rsidP="00221B3C">
      <w:pPr>
        <w:rPr>
          <w:rFonts w:ascii="Times New Roman" w:hAnsi="Times New Roman" w:cs="Times New Roman"/>
          <w:b/>
          <w:bCs/>
          <w:sz w:val="24"/>
          <w:szCs w:val="24"/>
        </w:rPr>
      </w:pPr>
    </w:p>
    <w:bookmarkEnd w:id="1" w:displacedByCustomXml="next"/>
    <w:sdt>
      <w:sdtPr>
        <w:rPr>
          <w:rFonts w:ascii="Times New Roman" w:eastAsiaTheme="minorEastAsia" w:hAnsi="Times New Roman" w:cs="Times New Roman"/>
          <w:color w:val="auto"/>
          <w:sz w:val="22"/>
          <w:szCs w:val="22"/>
        </w:rPr>
        <w:id w:val="-1310780013"/>
        <w:docPartObj>
          <w:docPartGallery w:val="Table of Contents"/>
          <w:docPartUnique/>
        </w:docPartObj>
      </w:sdtPr>
      <w:sdtEndPr/>
      <w:sdtContent>
        <w:p w14:paraId="6A89FF55" w14:textId="4367A1F7" w:rsidR="0002062C" w:rsidRPr="0078322A" w:rsidRDefault="0002062C" w:rsidP="0002062C">
          <w:pPr>
            <w:pStyle w:val="Turinioantrat"/>
            <w:jc w:val="center"/>
            <w:rPr>
              <w:rFonts w:ascii="Times New Roman" w:eastAsiaTheme="minorHAnsi" w:hAnsi="Times New Roman" w:cs="Times New Roman"/>
              <w:color w:val="auto"/>
              <w:kern w:val="2"/>
              <w:sz w:val="28"/>
              <w:szCs w:val="28"/>
              <w:lang w:eastAsia="en-US"/>
              <w14:ligatures w14:val="standardContextual"/>
            </w:rPr>
          </w:pPr>
          <w:r w:rsidRPr="0078322A">
            <w:rPr>
              <w:rFonts w:ascii="Times New Roman" w:eastAsiaTheme="minorHAnsi" w:hAnsi="Times New Roman" w:cs="Times New Roman"/>
              <w:color w:val="auto"/>
              <w:kern w:val="2"/>
              <w:sz w:val="28"/>
              <w:szCs w:val="28"/>
              <w:lang w:eastAsia="en-US"/>
              <w14:ligatures w14:val="standardContextual"/>
            </w:rPr>
            <w:t>TURINYS</w:t>
          </w:r>
        </w:p>
        <w:p w14:paraId="6E207D8A" w14:textId="77777777" w:rsidR="0002062C" w:rsidRPr="0078322A" w:rsidRDefault="0002062C" w:rsidP="0002062C">
          <w:pPr>
            <w:rPr>
              <w:rFonts w:ascii="Times New Roman" w:hAnsi="Times New Roman" w:cs="Times New Roman"/>
            </w:rPr>
          </w:pPr>
        </w:p>
        <w:p w14:paraId="31598E6F" w14:textId="2463266A" w:rsidR="00B52FA8" w:rsidRPr="00B52FA8" w:rsidRDefault="00B52FA8" w:rsidP="00B52FA8">
          <w:pPr>
            <w:pStyle w:val="Turinys1"/>
            <w:rPr>
              <w:rFonts w:ascii="Times New Roman" w:hAnsi="Times New Roman"/>
            </w:rPr>
          </w:pPr>
          <w:r w:rsidRPr="00B52FA8">
            <w:rPr>
              <w:rFonts w:ascii="Times New Roman" w:hAnsi="Times New Roman"/>
            </w:rPr>
            <w:t>AIŠKINAMASIS RAŠTAS</w:t>
          </w:r>
          <w:r w:rsidRPr="00B52FA8">
            <w:rPr>
              <w:rFonts w:ascii="Times New Roman" w:hAnsi="Times New Roman"/>
            </w:rPr>
            <w:ptab w:relativeTo="margin" w:alignment="right" w:leader="dot"/>
          </w:r>
          <w:r w:rsidRPr="00B52FA8">
            <w:rPr>
              <w:rFonts w:ascii="Times New Roman" w:hAnsi="Times New Roman"/>
            </w:rPr>
            <w:t>3</w:t>
          </w:r>
        </w:p>
        <w:p w14:paraId="4B154F56" w14:textId="5C087FAF" w:rsidR="0002062C" w:rsidRPr="00B52FA8" w:rsidRDefault="0002062C">
          <w:pPr>
            <w:pStyle w:val="Turinys1"/>
            <w:rPr>
              <w:rFonts w:ascii="Times New Roman" w:hAnsi="Times New Roman"/>
            </w:rPr>
          </w:pPr>
          <w:r w:rsidRPr="00B52FA8">
            <w:rPr>
              <w:rFonts w:ascii="Times New Roman" w:hAnsi="Times New Roman"/>
            </w:rPr>
            <w:t xml:space="preserve">FINANSINĖS BŪKLĖS </w:t>
          </w:r>
          <w:r w:rsidR="0074681B" w:rsidRPr="00B52FA8">
            <w:rPr>
              <w:rFonts w:ascii="Times New Roman" w:hAnsi="Times New Roman"/>
            </w:rPr>
            <w:t>ATASKAITA</w:t>
          </w:r>
          <w:r w:rsidR="0074681B" w:rsidRPr="00B52FA8">
            <w:rPr>
              <w:rFonts w:ascii="Times New Roman" w:hAnsi="Times New Roman"/>
            </w:rPr>
            <w:ptab w:relativeTo="margin" w:alignment="right" w:leader="dot"/>
          </w:r>
          <w:r w:rsidR="0074681B">
            <w:rPr>
              <w:rFonts w:ascii="Times New Roman" w:hAnsi="Times New Roman"/>
            </w:rPr>
            <w:t>1</w:t>
          </w:r>
          <w:r w:rsidR="00CD2148">
            <w:rPr>
              <w:rFonts w:ascii="Times New Roman" w:hAnsi="Times New Roman"/>
            </w:rPr>
            <w:t>3</w:t>
          </w:r>
        </w:p>
        <w:p w14:paraId="1D32C084" w14:textId="5304414F" w:rsidR="0002062C" w:rsidRPr="00B52FA8" w:rsidRDefault="0002062C" w:rsidP="0002062C">
          <w:pPr>
            <w:pStyle w:val="Turinys1"/>
            <w:rPr>
              <w:rFonts w:ascii="Times New Roman" w:hAnsi="Times New Roman"/>
            </w:rPr>
          </w:pPr>
          <w:r w:rsidRPr="00B52FA8">
            <w:rPr>
              <w:rFonts w:ascii="Times New Roman" w:hAnsi="Times New Roman"/>
            </w:rPr>
            <w:t xml:space="preserve">VEIKLOS REZULTATŲ </w:t>
          </w:r>
          <w:r w:rsidR="0074681B" w:rsidRPr="00B52FA8">
            <w:rPr>
              <w:rFonts w:ascii="Times New Roman" w:hAnsi="Times New Roman"/>
            </w:rPr>
            <w:t>ATASKAITA</w:t>
          </w:r>
          <w:r w:rsidR="0074681B" w:rsidRPr="00B52FA8">
            <w:rPr>
              <w:rFonts w:ascii="Times New Roman" w:hAnsi="Times New Roman"/>
            </w:rPr>
            <w:ptab w:relativeTo="margin" w:alignment="right" w:leader="dot"/>
          </w:r>
          <w:r w:rsidR="0074681B">
            <w:rPr>
              <w:rFonts w:ascii="Times New Roman" w:hAnsi="Times New Roman"/>
            </w:rPr>
            <w:t>1</w:t>
          </w:r>
          <w:r w:rsidR="00CD2148">
            <w:rPr>
              <w:rFonts w:ascii="Times New Roman" w:hAnsi="Times New Roman"/>
            </w:rPr>
            <w:t>4</w:t>
          </w:r>
        </w:p>
        <w:p w14:paraId="523BDCB1" w14:textId="765B5ED4" w:rsidR="0002062C" w:rsidRPr="00B52FA8" w:rsidRDefault="0002062C" w:rsidP="0002062C">
          <w:pPr>
            <w:pStyle w:val="Turinys1"/>
            <w:rPr>
              <w:rFonts w:ascii="Times New Roman" w:hAnsi="Times New Roman"/>
            </w:rPr>
          </w:pPr>
          <w:r w:rsidRPr="00B52FA8">
            <w:rPr>
              <w:rFonts w:ascii="Times New Roman" w:hAnsi="Times New Roman"/>
            </w:rPr>
            <w:t xml:space="preserve">GRYNOJO TURTO POKYČIŲ </w:t>
          </w:r>
          <w:r w:rsidR="0074681B" w:rsidRPr="00B52FA8">
            <w:rPr>
              <w:rFonts w:ascii="Times New Roman" w:hAnsi="Times New Roman"/>
            </w:rPr>
            <w:t>ATASKAITA</w:t>
          </w:r>
          <w:r w:rsidR="0074681B" w:rsidRPr="00B52FA8">
            <w:rPr>
              <w:rFonts w:ascii="Times New Roman" w:hAnsi="Times New Roman"/>
            </w:rPr>
            <w:ptab w:relativeTo="margin" w:alignment="right" w:leader="dot"/>
          </w:r>
          <w:r w:rsidR="0074681B">
            <w:rPr>
              <w:rFonts w:ascii="Times New Roman" w:hAnsi="Times New Roman"/>
            </w:rPr>
            <w:t>1</w:t>
          </w:r>
          <w:r w:rsidR="00CD2148">
            <w:rPr>
              <w:rFonts w:ascii="Times New Roman" w:hAnsi="Times New Roman"/>
            </w:rPr>
            <w:t>5</w:t>
          </w:r>
        </w:p>
        <w:p w14:paraId="4BC7733F" w14:textId="1C6E6C5F" w:rsidR="0002062C" w:rsidRPr="00B52FA8" w:rsidRDefault="0002062C" w:rsidP="0002062C">
          <w:pPr>
            <w:pStyle w:val="Turinys1"/>
            <w:rPr>
              <w:rFonts w:ascii="Times New Roman" w:hAnsi="Times New Roman"/>
            </w:rPr>
          </w:pPr>
          <w:r w:rsidRPr="00B52FA8">
            <w:rPr>
              <w:rFonts w:ascii="Times New Roman" w:hAnsi="Times New Roman"/>
            </w:rPr>
            <w:t xml:space="preserve">PINIGŲ SRAUTŲ </w:t>
          </w:r>
          <w:r w:rsidR="0074681B" w:rsidRPr="00B52FA8">
            <w:rPr>
              <w:rFonts w:ascii="Times New Roman" w:hAnsi="Times New Roman"/>
            </w:rPr>
            <w:t>ATASKAITA</w:t>
          </w:r>
          <w:r w:rsidR="0074681B" w:rsidRPr="00B52FA8">
            <w:rPr>
              <w:rFonts w:ascii="Times New Roman" w:hAnsi="Times New Roman"/>
            </w:rPr>
            <w:ptab w:relativeTo="margin" w:alignment="right" w:leader="dot"/>
          </w:r>
          <w:r w:rsidR="0074681B">
            <w:rPr>
              <w:rFonts w:ascii="Times New Roman" w:hAnsi="Times New Roman"/>
            </w:rPr>
            <w:t>1</w:t>
          </w:r>
          <w:r w:rsidR="00CD2148">
            <w:rPr>
              <w:rFonts w:ascii="Times New Roman" w:hAnsi="Times New Roman"/>
            </w:rPr>
            <w:t>6</w:t>
          </w:r>
        </w:p>
        <w:p w14:paraId="0B91642C" w14:textId="08F2FCBB" w:rsidR="0002062C" w:rsidRPr="0078322A" w:rsidRDefault="0002062C">
          <w:pPr>
            <w:pStyle w:val="Turinys2"/>
            <w:ind w:left="216"/>
            <w:rPr>
              <w:rFonts w:ascii="Times New Roman" w:hAnsi="Times New Roman"/>
            </w:rPr>
          </w:pPr>
          <w:r w:rsidRPr="0078322A">
            <w:rPr>
              <w:rFonts w:ascii="Times New Roman" w:hAnsi="Times New Roman"/>
            </w:rPr>
            <w:t xml:space="preserve">1 priedas. </w:t>
          </w:r>
          <w:r w:rsidR="00DC0F82" w:rsidRPr="0078322A">
            <w:rPr>
              <w:rFonts w:ascii="Times New Roman" w:hAnsi="Times New Roman"/>
            </w:rPr>
            <w:t xml:space="preserve">Informacija apie </w:t>
          </w:r>
          <w:r w:rsidR="00DC0F82">
            <w:rPr>
              <w:rFonts w:ascii="Times New Roman" w:hAnsi="Times New Roman"/>
            </w:rPr>
            <w:t>išankstinius apmokėjimus</w:t>
          </w:r>
          <w:r w:rsidR="00DC0F82" w:rsidRPr="0078322A">
            <w:rPr>
              <w:rFonts w:ascii="Times New Roman" w:hAnsi="Times New Roman"/>
            </w:rPr>
            <w:t xml:space="preserve"> </w:t>
          </w:r>
          <w:r w:rsidR="00F211CB">
            <w:rPr>
              <w:rFonts w:ascii="Times New Roman" w:hAnsi="Times New Roman"/>
            </w:rPr>
            <w:t>8</w:t>
          </w:r>
          <w:r w:rsidR="0074681B" w:rsidRPr="0078322A">
            <w:rPr>
              <w:rFonts w:ascii="Times New Roman" w:hAnsi="Times New Roman"/>
            </w:rPr>
            <w:ptab w:relativeTo="margin" w:alignment="right" w:leader="dot"/>
          </w:r>
          <w:r w:rsidR="0074681B">
            <w:rPr>
              <w:rFonts w:ascii="Times New Roman" w:hAnsi="Times New Roman"/>
            </w:rPr>
            <w:t>1</w:t>
          </w:r>
          <w:r w:rsidR="00CD2148">
            <w:rPr>
              <w:rFonts w:ascii="Times New Roman" w:hAnsi="Times New Roman"/>
            </w:rPr>
            <w:t>7</w:t>
          </w:r>
        </w:p>
        <w:p w14:paraId="6E5E3635" w14:textId="1AB99896" w:rsidR="0002062C" w:rsidRPr="0078322A" w:rsidRDefault="0002062C" w:rsidP="0002062C">
          <w:pPr>
            <w:pStyle w:val="Turinys2"/>
            <w:ind w:left="216"/>
            <w:rPr>
              <w:rFonts w:ascii="Times New Roman" w:hAnsi="Times New Roman"/>
            </w:rPr>
          </w:pPr>
          <w:r w:rsidRPr="0078322A">
            <w:rPr>
              <w:rFonts w:ascii="Times New Roman" w:hAnsi="Times New Roman"/>
            </w:rPr>
            <w:t xml:space="preserve">2 priedas. </w:t>
          </w:r>
          <w:r w:rsidR="008E1101">
            <w:rPr>
              <w:rFonts w:ascii="Times New Roman" w:hAnsi="Times New Roman"/>
            </w:rPr>
            <w:t>Pagrindinės veiklos kit</w:t>
          </w:r>
          <w:r w:rsidR="003C1727">
            <w:rPr>
              <w:rFonts w:ascii="Times New Roman" w:hAnsi="Times New Roman"/>
            </w:rPr>
            <w:t>os</w:t>
          </w:r>
          <w:r w:rsidR="008E1101">
            <w:rPr>
              <w:rFonts w:ascii="Times New Roman" w:hAnsi="Times New Roman"/>
            </w:rPr>
            <w:t xml:space="preserve"> pajam</w:t>
          </w:r>
          <w:r w:rsidR="003C1727">
            <w:rPr>
              <w:rFonts w:ascii="Times New Roman" w:hAnsi="Times New Roman"/>
            </w:rPr>
            <w:t>os</w:t>
          </w:r>
          <w:r w:rsidR="008E1101">
            <w:rPr>
              <w:rFonts w:ascii="Times New Roman" w:hAnsi="Times New Roman"/>
            </w:rPr>
            <w:t>................................................................................................</w:t>
          </w:r>
          <w:r w:rsidR="00CD2148">
            <w:rPr>
              <w:rFonts w:ascii="Times New Roman" w:hAnsi="Times New Roman"/>
            </w:rPr>
            <w:t>18</w:t>
          </w:r>
        </w:p>
        <w:p w14:paraId="377FC43F" w14:textId="7FCC8C48" w:rsidR="0063046E" w:rsidRPr="0078322A" w:rsidRDefault="0063046E" w:rsidP="0063046E">
          <w:pPr>
            <w:pStyle w:val="Turinys2"/>
            <w:ind w:left="216"/>
            <w:rPr>
              <w:rFonts w:ascii="Times New Roman" w:hAnsi="Times New Roman"/>
            </w:rPr>
          </w:pPr>
          <w:r w:rsidRPr="0078322A">
            <w:rPr>
              <w:rFonts w:ascii="Times New Roman" w:hAnsi="Times New Roman"/>
            </w:rPr>
            <w:t xml:space="preserve">3 priedas. </w:t>
          </w:r>
          <w:r w:rsidR="002A262D">
            <w:rPr>
              <w:rFonts w:ascii="Times New Roman" w:hAnsi="Times New Roman"/>
            </w:rPr>
            <w:t>Informacija apie pinigus ir pinigų ekvivalentus</w:t>
          </w:r>
          <w:r w:rsidR="002A262D" w:rsidRPr="0078322A">
            <w:rPr>
              <w:rFonts w:ascii="Times New Roman" w:hAnsi="Times New Roman"/>
            </w:rPr>
            <w:t xml:space="preserve"> </w:t>
          </w:r>
          <w:r w:rsidR="00F211CB">
            <w:rPr>
              <w:rFonts w:ascii="Times New Roman" w:hAnsi="Times New Roman"/>
            </w:rPr>
            <w:t>21</w:t>
          </w:r>
          <w:r w:rsidR="0074681B" w:rsidRPr="0078322A">
            <w:rPr>
              <w:rFonts w:ascii="Times New Roman" w:hAnsi="Times New Roman"/>
            </w:rPr>
            <w:ptab w:relativeTo="margin" w:alignment="right" w:leader="dot"/>
          </w:r>
          <w:r w:rsidR="00CD2148">
            <w:rPr>
              <w:rFonts w:ascii="Times New Roman" w:hAnsi="Times New Roman"/>
            </w:rPr>
            <w:t>19</w:t>
          </w:r>
        </w:p>
        <w:p w14:paraId="0229C64A" w14:textId="662F762C" w:rsidR="0063046E" w:rsidRPr="0078322A" w:rsidRDefault="0063046E" w:rsidP="0063046E">
          <w:pPr>
            <w:pStyle w:val="Turinys2"/>
            <w:ind w:left="216"/>
            <w:rPr>
              <w:rFonts w:ascii="Times New Roman" w:hAnsi="Times New Roman"/>
            </w:rPr>
          </w:pPr>
          <w:r w:rsidRPr="0078322A">
            <w:rPr>
              <w:rFonts w:ascii="Times New Roman" w:hAnsi="Times New Roman"/>
            </w:rPr>
            <w:t xml:space="preserve">4 priedas. </w:t>
          </w:r>
          <w:r w:rsidR="00FF050F">
            <w:rPr>
              <w:rFonts w:ascii="Times New Roman" w:hAnsi="Times New Roman"/>
            </w:rPr>
            <w:t>Finansavimo sumos pagal šaltinį, tikslinę paskirtį ir jų pokyčiai per ataskaitinį laikotarpį</w:t>
          </w:r>
          <w:r w:rsidRPr="0078322A">
            <w:rPr>
              <w:rFonts w:ascii="Times New Roman" w:hAnsi="Times New Roman"/>
            </w:rPr>
            <w:ptab w:relativeTo="margin" w:alignment="right" w:leader="dot"/>
          </w:r>
          <w:r w:rsidR="00CD2148">
            <w:rPr>
              <w:rFonts w:ascii="Times New Roman" w:hAnsi="Times New Roman"/>
            </w:rPr>
            <w:t>20</w:t>
          </w:r>
        </w:p>
        <w:p w14:paraId="44F58C94" w14:textId="00B63158" w:rsidR="0063046E" w:rsidRPr="0078322A" w:rsidRDefault="0063046E" w:rsidP="0063046E">
          <w:pPr>
            <w:pStyle w:val="Turinys2"/>
            <w:ind w:left="216"/>
            <w:rPr>
              <w:rFonts w:ascii="Times New Roman" w:hAnsi="Times New Roman"/>
            </w:rPr>
          </w:pPr>
          <w:r w:rsidRPr="0078322A">
            <w:rPr>
              <w:rFonts w:ascii="Times New Roman" w:hAnsi="Times New Roman"/>
            </w:rPr>
            <w:t xml:space="preserve">5 priedas. </w:t>
          </w:r>
          <w:r w:rsidR="00FF050F">
            <w:rPr>
              <w:rFonts w:ascii="Times New Roman" w:hAnsi="Times New Roman"/>
            </w:rPr>
            <w:t xml:space="preserve">Finansavimo sumų </w:t>
          </w:r>
          <w:r w:rsidR="00076E08">
            <w:rPr>
              <w:rFonts w:ascii="Times New Roman" w:hAnsi="Times New Roman"/>
            </w:rPr>
            <w:t xml:space="preserve">                                                                                                                       </w:t>
          </w:r>
          <w:r w:rsidR="00F211CB">
            <w:rPr>
              <w:rFonts w:ascii="Times New Roman" w:hAnsi="Times New Roman"/>
            </w:rPr>
            <w:t>24</w:t>
          </w:r>
        </w:p>
        <w:p w14:paraId="7F443936" w14:textId="4574DD2F" w:rsidR="0063046E" w:rsidRPr="0078322A" w:rsidRDefault="0063046E" w:rsidP="0063046E">
          <w:pPr>
            <w:pStyle w:val="Turinys2"/>
            <w:ind w:left="216"/>
            <w:rPr>
              <w:rFonts w:ascii="Times New Roman" w:hAnsi="Times New Roman"/>
            </w:rPr>
          </w:pPr>
          <w:r w:rsidRPr="0078322A">
            <w:rPr>
              <w:rFonts w:ascii="Times New Roman" w:hAnsi="Times New Roman"/>
            </w:rPr>
            <w:t xml:space="preserve">6 priedas. </w:t>
          </w:r>
          <w:r w:rsidR="002434FA" w:rsidRPr="0078322A">
            <w:rPr>
              <w:rFonts w:ascii="Times New Roman" w:hAnsi="Times New Roman"/>
            </w:rPr>
            <w:t xml:space="preserve">2025 m. Informacija pagal veiklos segmentus </w:t>
          </w:r>
          <w:r w:rsidRPr="0078322A">
            <w:rPr>
              <w:rFonts w:ascii="Times New Roman" w:hAnsi="Times New Roman"/>
            </w:rPr>
            <w:ptab w:relativeTo="margin" w:alignment="right" w:leader="dot"/>
          </w:r>
          <w:r w:rsidR="00CD2148">
            <w:rPr>
              <w:rFonts w:ascii="Times New Roman" w:hAnsi="Times New Roman"/>
            </w:rPr>
            <w:t>21</w:t>
          </w:r>
        </w:p>
        <w:p w14:paraId="53ACAB8F" w14:textId="2C479372" w:rsidR="0063046E" w:rsidRPr="0078322A" w:rsidRDefault="00B52FA8" w:rsidP="0063046E">
          <w:pPr>
            <w:pStyle w:val="Turinys2"/>
            <w:ind w:left="216"/>
            <w:rPr>
              <w:rFonts w:ascii="Times New Roman" w:hAnsi="Times New Roman"/>
            </w:rPr>
          </w:pPr>
          <w:r>
            <w:rPr>
              <w:rFonts w:ascii="Times New Roman" w:hAnsi="Times New Roman"/>
            </w:rPr>
            <w:t>7</w:t>
          </w:r>
          <w:r w:rsidR="0063046E" w:rsidRPr="0078322A">
            <w:rPr>
              <w:rFonts w:ascii="Times New Roman" w:hAnsi="Times New Roman"/>
            </w:rPr>
            <w:t xml:space="preserve"> priedas. Informacija apie </w:t>
          </w:r>
          <w:r w:rsidR="00463121">
            <w:rPr>
              <w:rFonts w:ascii="Times New Roman" w:hAnsi="Times New Roman"/>
            </w:rPr>
            <w:t xml:space="preserve">per vienus metus gautinas </w:t>
          </w:r>
          <w:r w:rsidR="00076E08">
            <w:rPr>
              <w:rFonts w:ascii="Times New Roman" w:hAnsi="Times New Roman"/>
            </w:rPr>
            <w:t xml:space="preserve">                                                                                 </w:t>
          </w:r>
          <w:r w:rsidR="00F211CB">
            <w:rPr>
              <w:rFonts w:ascii="Times New Roman" w:hAnsi="Times New Roman"/>
            </w:rPr>
            <w:t>25</w:t>
          </w:r>
        </w:p>
        <w:p w14:paraId="5BA1891A" w14:textId="10DFFD07" w:rsidR="006426A4" w:rsidRPr="0078322A" w:rsidRDefault="00B52FA8" w:rsidP="006426A4">
          <w:pPr>
            <w:pStyle w:val="Turinys2"/>
            <w:ind w:left="216"/>
            <w:rPr>
              <w:rFonts w:ascii="Times New Roman" w:hAnsi="Times New Roman"/>
            </w:rPr>
          </w:pPr>
          <w:r>
            <w:rPr>
              <w:rFonts w:ascii="Times New Roman" w:hAnsi="Times New Roman"/>
            </w:rPr>
            <w:t>8</w:t>
          </w:r>
          <w:r w:rsidR="006426A4" w:rsidRPr="0078322A">
            <w:rPr>
              <w:rFonts w:ascii="Times New Roman" w:hAnsi="Times New Roman"/>
            </w:rPr>
            <w:t xml:space="preserve"> priedas. </w:t>
          </w:r>
          <w:bookmarkStart w:id="2" w:name="_Hlk206584493"/>
          <w:r w:rsidR="000C7C1D">
            <w:rPr>
              <w:rFonts w:ascii="Times New Roman" w:hAnsi="Times New Roman"/>
            </w:rPr>
            <w:t xml:space="preserve">Informacija apie </w:t>
          </w:r>
          <w:r w:rsidR="00463121">
            <w:rPr>
              <w:rFonts w:ascii="Times New Roman" w:hAnsi="Times New Roman"/>
            </w:rPr>
            <w:t xml:space="preserve">kai kurias </w:t>
          </w:r>
          <w:r w:rsidR="004A1E7A">
            <w:rPr>
              <w:rFonts w:ascii="Times New Roman" w:hAnsi="Times New Roman"/>
            </w:rPr>
            <w:t xml:space="preserve">trumpalaikes mokėtinas </w:t>
          </w:r>
          <w:bookmarkEnd w:id="2"/>
          <w:r w:rsidR="004A1E7A">
            <w:rPr>
              <w:rFonts w:ascii="Times New Roman" w:hAnsi="Times New Roman"/>
            </w:rPr>
            <w:t>sumas</w:t>
          </w:r>
          <w:r w:rsidR="006426A4" w:rsidRPr="0078322A">
            <w:rPr>
              <w:rFonts w:ascii="Times New Roman" w:hAnsi="Times New Roman"/>
            </w:rPr>
            <w:ptab w:relativeTo="margin" w:alignment="right" w:leader="dot"/>
          </w:r>
          <w:r w:rsidR="00F211CB">
            <w:rPr>
              <w:rFonts w:ascii="Times New Roman" w:hAnsi="Times New Roman"/>
            </w:rPr>
            <w:t>2</w:t>
          </w:r>
          <w:r w:rsidR="00CD2148">
            <w:rPr>
              <w:rFonts w:ascii="Times New Roman" w:hAnsi="Times New Roman"/>
            </w:rPr>
            <w:t>2</w:t>
          </w:r>
        </w:p>
        <w:p w14:paraId="52AB4C9B" w14:textId="462102F3" w:rsidR="006426A4" w:rsidRPr="0078322A" w:rsidRDefault="00B52FA8" w:rsidP="006426A4">
          <w:pPr>
            <w:pStyle w:val="Turinys2"/>
            <w:ind w:left="216"/>
            <w:rPr>
              <w:rFonts w:ascii="Times New Roman" w:hAnsi="Times New Roman"/>
            </w:rPr>
          </w:pPr>
          <w:r>
            <w:rPr>
              <w:rFonts w:ascii="Times New Roman" w:hAnsi="Times New Roman"/>
            </w:rPr>
            <w:t>9</w:t>
          </w:r>
          <w:r w:rsidR="006426A4" w:rsidRPr="0078322A">
            <w:rPr>
              <w:rFonts w:ascii="Times New Roman" w:hAnsi="Times New Roman"/>
            </w:rPr>
            <w:t xml:space="preserve"> priedas. </w:t>
          </w:r>
          <w:r w:rsidR="004819B0">
            <w:rPr>
              <w:rFonts w:ascii="Times New Roman" w:hAnsi="Times New Roman"/>
            </w:rPr>
            <w:t>Informacija apie įsipareigojimų dalį (įskaitant finansinės nuomos (lizingo) įsipareigojimus) eurais ir užsienio valiutomis</w:t>
          </w:r>
          <w:r w:rsidR="00622772">
            <w:rPr>
              <w:rFonts w:ascii="Times New Roman" w:hAnsi="Times New Roman"/>
            </w:rPr>
            <w:t>.......</w:t>
          </w:r>
          <w:r w:rsidR="006426A4" w:rsidRPr="0078322A">
            <w:rPr>
              <w:rFonts w:ascii="Times New Roman" w:hAnsi="Times New Roman"/>
            </w:rPr>
            <w:ptab w:relativeTo="margin" w:alignment="right" w:leader="dot"/>
          </w:r>
          <w:r w:rsidR="00F211CB">
            <w:rPr>
              <w:rFonts w:ascii="Times New Roman" w:hAnsi="Times New Roman"/>
            </w:rPr>
            <w:t>2</w:t>
          </w:r>
          <w:r w:rsidR="00CD2148">
            <w:rPr>
              <w:rFonts w:ascii="Times New Roman" w:hAnsi="Times New Roman"/>
            </w:rPr>
            <w:t>3</w:t>
          </w:r>
        </w:p>
        <w:p w14:paraId="7D637F2B" w14:textId="77F85883" w:rsidR="0002062C" w:rsidRPr="0078322A" w:rsidRDefault="00113160" w:rsidP="002434FA">
          <w:pPr>
            <w:pStyle w:val="Turinys2"/>
            <w:ind w:left="216"/>
            <w:rPr>
              <w:rFonts w:ascii="Times New Roman" w:hAnsi="Times New Roman"/>
            </w:rPr>
          </w:pPr>
        </w:p>
      </w:sdtContent>
    </w:sdt>
    <w:bookmarkEnd w:id="0"/>
    <w:p w14:paraId="3DE5DAC9" w14:textId="0D689CCB" w:rsidR="00F0018F" w:rsidRDefault="00F0018F" w:rsidP="00221B3C">
      <w:pPr>
        <w:jc w:val="center"/>
        <w:rPr>
          <w:rFonts w:ascii="Times New Roman" w:hAnsi="Times New Roman" w:cs="Times New Roman"/>
          <w:sz w:val="24"/>
          <w:szCs w:val="24"/>
        </w:rPr>
      </w:pPr>
    </w:p>
    <w:p w14:paraId="49E1E42A" w14:textId="77777777" w:rsidR="00F0018F" w:rsidRDefault="00F0018F" w:rsidP="00221B3C">
      <w:pPr>
        <w:jc w:val="center"/>
        <w:rPr>
          <w:rFonts w:ascii="Times New Roman" w:hAnsi="Times New Roman" w:cs="Times New Roman"/>
          <w:sz w:val="24"/>
          <w:szCs w:val="24"/>
        </w:rPr>
      </w:pPr>
    </w:p>
    <w:p w14:paraId="2E7D6B5F" w14:textId="77777777" w:rsidR="00F0018F" w:rsidRDefault="00F0018F" w:rsidP="00221B3C">
      <w:pPr>
        <w:jc w:val="center"/>
        <w:rPr>
          <w:rFonts w:ascii="Times New Roman" w:hAnsi="Times New Roman" w:cs="Times New Roman"/>
          <w:sz w:val="24"/>
          <w:szCs w:val="24"/>
        </w:rPr>
      </w:pPr>
    </w:p>
    <w:p w14:paraId="67204A31" w14:textId="77777777" w:rsidR="00F0018F" w:rsidRDefault="00F0018F" w:rsidP="00221B3C">
      <w:pPr>
        <w:jc w:val="center"/>
        <w:rPr>
          <w:rFonts w:ascii="Times New Roman" w:hAnsi="Times New Roman" w:cs="Times New Roman"/>
          <w:sz w:val="24"/>
          <w:szCs w:val="24"/>
        </w:rPr>
      </w:pPr>
    </w:p>
    <w:p w14:paraId="79B6DE77" w14:textId="77777777" w:rsidR="00F0018F" w:rsidRDefault="00F0018F" w:rsidP="00221B3C">
      <w:pPr>
        <w:jc w:val="center"/>
        <w:rPr>
          <w:rFonts w:ascii="Times New Roman" w:hAnsi="Times New Roman" w:cs="Times New Roman"/>
          <w:sz w:val="24"/>
          <w:szCs w:val="24"/>
        </w:rPr>
      </w:pPr>
    </w:p>
    <w:p w14:paraId="3D2FA5A8" w14:textId="77777777" w:rsidR="00F0018F" w:rsidRDefault="00F0018F" w:rsidP="00221B3C">
      <w:pPr>
        <w:jc w:val="center"/>
        <w:rPr>
          <w:rFonts w:ascii="Times New Roman" w:hAnsi="Times New Roman" w:cs="Times New Roman"/>
          <w:sz w:val="24"/>
          <w:szCs w:val="24"/>
        </w:rPr>
      </w:pPr>
    </w:p>
    <w:p w14:paraId="70F36279" w14:textId="77777777" w:rsidR="00F0018F" w:rsidRDefault="00F0018F" w:rsidP="00221B3C">
      <w:pPr>
        <w:jc w:val="center"/>
        <w:rPr>
          <w:rFonts w:ascii="Times New Roman" w:hAnsi="Times New Roman" w:cs="Times New Roman"/>
          <w:sz w:val="24"/>
          <w:szCs w:val="24"/>
        </w:rPr>
      </w:pPr>
    </w:p>
    <w:p w14:paraId="0D42AC4A" w14:textId="77777777" w:rsidR="00F0018F" w:rsidRDefault="00F0018F" w:rsidP="00221B3C">
      <w:pPr>
        <w:jc w:val="center"/>
        <w:rPr>
          <w:rFonts w:ascii="Times New Roman" w:hAnsi="Times New Roman" w:cs="Times New Roman"/>
          <w:sz w:val="24"/>
          <w:szCs w:val="24"/>
        </w:rPr>
      </w:pPr>
    </w:p>
    <w:p w14:paraId="6FAE7900" w14:textId="77777777" w:rsidR="00F0018F" w:rsidRDefault="00F0018F" w:rsidP="00221B3C">
      <w:pPr>
        <w:jc w:val="center"/>
        <w:rPr>
          <w:rFonts w:ascii="Times New Roman" w:hAnsi="Times New Roman" w:cs="Times New Roman"/>
          <w:sz w:val="24"/>
          <w:szCs w:val="24"/>
        </w:rPr>
      </w:pPr>
    </w:p>
    <w:p w14:paraId="1E87F29C" w14:textId="77777777" w:rsidR="00F0018F" w:rsidRDefault="00F0018F" w:rsidP="00221B3C">
      <w:pPr>
        <w:jc w:val="center"/>
        <w:rPr>
          <w:rFonts w:ascii="Times New Roman" w:hAnsi="Times New Roman" w:cs="Times New Roman"/>
          <w:sz w:val="24"/>
          <w:szCs w:val="24"/>
        </w:rPr>
      </w:pPr>
    </w:p>
    <w:p w14:paraId="38335677" w14:textId="77777777" w:rsidR="00F0018F" w:rsidRDefault="00F0018F" w:rsidP="00221B3C">
      <w:pPr>
        <w:jc w:val="center"/>
        <w:rPr>
          <w:rFonts w:ascii="Times New Roman" w:hAnsi="Times New Roman" w:cs="Times New Roman"/>
          <w:sz w:val="24"/>
          <w:szCs w:val="24"/>
        </w:rPr>
      </w:pPr>
    </w:p>
    <w:p w14:paraId="351DF026" w14:textId="77777777" w:rsidR="00F0018F" w:rsidRDefault="00F0018F" w:rsidP="00221B3C">
      <w:pPr>
        <w:jc w:val="center"/>
        <w:rPr>
          <w:rFonts w:ascii="Times New Roman" w:hAnsi="Times New Roman" w:cs="Times New Roman"/>
          <w:sz w:val="24"/>
          <w:szCs w:val="24"/>
        </w:rPr>
      </w:pPr>
    </w:p>
    <w:p w14:paraId="02CD0C39" w14:textId="72603329" w:rsidR="00A93270" w:rsidRDefault="00A93270">
      <w:pPr>
        <w:rPr>
          <w:rFonts w:ascii="Times New Roman" w:hAnsi="Times New Roman" w:cs="Times New Roman"/>
          <w:sz w:val="24"/>
          <w:szCs w:val="24"/>
        </w:rPr>
      </w:pPr>
      <w:r>
        <w:rPr>
          <w:rFonts w:ascii="Times New Roman" w:hAnsi="Times New Roman" w:cs="Times New Roman"/>
          <w:sz w:val="24"/>
          <w:szCs w:val="24"/>
        </w:rPr>
        <w:br w:type="page"/>
      </w:r>
    </w:p>
    <w:p w14:paraId="27FA151C" w14:textId="77777777" w:rsidR="00A93270" w:rsidRDefault="00A93270" w:rsidP="00221B3C">
      <w:pPr>
        <w:jc w:val="center"/>
        <w:rPr>
          <w:rFonts w:ascii="Times New Roman" w:hAnsi="Times New Roman" w:cs="Times New Roman"/>
          <w:sz w:val="24"/>
          <w:szCs w:val="24"/>
        </w:rPr>
        <w:sectPr w:rsidR="00A93270">
          <w:pgSz w:w="11906" w:h="16838"/>
          <w:pgMar w:top="1701" w:right="567" w:bottom="1134" w:left="1701" w:header="567" w:footer="567" w:gutter="0"/>
          <w:cols w:space="1296"/>
          <w:docGrid w:linePitch="360"/>
        </w:sectPr>
      </w:pPr>
    </w:p>
    <w:p w14:paraId="7FF5DECF" w14:textId="3DC274F9" w:rsidR="00A93270" w:rsidRDefault="00A93270" w:rsidP="00724F52">
      <w:pPr>
        <w:spacing w:after="0" w:line="240" w:lineRule="auto"/>
        <w:ind w:left="-567" w:firstLine="567"/>
        <w:jc w:val="center"/>
        <w:rPr>
          <w:rFonts w:ascii="Times New Roman" w:hAnsi="Times New Roman" w:cs="Times New Roman"/>
          <w:b/>
          <w:sz w:val="28"/>
          <w:szCs w:val="28"/>
        </w:rPr>
      </w:pPr>
      <w:bookmarkStart w:id="3" w:name="_Hlk206572205"/>
      <w:r>
        <w:rPr>
          <w:noProof/>
        </w:rPr>
        <w:lastRenderedPageBreak/>
        <w:drawing>
          <wp:inline distT="0" distB="0" distL="0" distR="0" wp14:anchorId="44E319AA" wp14:editId="575C6AD8">
            <wp:extent cx="685800" cy="685800"/>
            <wp:effectExtent l="0" t="0" r="0" b="0"/>
            <wp:docPr id="1"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prašas: http://kontora.vlk.lt/K2K_FILES/2009-07/1033274496_1.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917DD30" w14:textId="77777777" w:rsidR="00724F52" w:rsidRDefault="00724F52" w:rsidP="00724F52">
      <w:pPr>
        <w:spacing w:after="0" w:line="240" w:lineRule="auto"/>
        <w:ind w:left="-567" w:firstLine="567"/>
        <w:jc w:val="center"/>
        <w:rPr>
          <w:rFonts w:ascii="Times New Roman" w:hAnsi="Times New Roman" w:cs="Times New Roman"/>
          <w:b/>
          <w:sz w:val="28"/>
          <w:szCs w:val="28"/>
        </w:rPr>
      </w:pPr>
    </w:p>
    <w:p w14:paraId="1671A808" w14:textId="77777777"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VALSTYBINĖ LIGONIŲ KASA</w:t>
      </w:r>
    </w:p>
    <w:p w14:paraId="21480610" w14:textId="77777777"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PRIE SVEIKATOS APSAUGOS MINISTERIJOS</w:t>
      </w:r>
    </w:p>
    <w:p w14:paraId="631D4E68" w14:textId="31334B2C"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 xml:space="preserve">PAGAL </w:t>
      </w:r>
      <w:r w:rsidR="00833D88" w:rsidRPr="00D006BD">
        <w:rPr>
          <w:rFonts w:ascii="Times New Roman" w:hAnsi="Times New Roman" w:cs="Times New Roman"/>
          <w:b/>
          <w:bCs/>
          <w:sz w:val="28"/>
          <w:szCs w:val="28"/>
        </w:rPr>
        <w:t>KLAIPĖDOS</w:t>
      </w:r>
      <w:r w:rsidRPr="00D006BD">
        <w:rPr>
          <w:rFonts w:ascii="Times New Roman" w:hAnsi="Times New Roman" w:cs="Times New Roman"/>
          <w:b/>
          <w:bCs/>
          <w:sz w:val="28"/>
          <w:szCs w:val="28"/>
        </w:rPr>
        <w:t xml:space="preserve"> TERITORINĖS LIGONIŲ KASOS DUOMENIS</w:t>
      </w:r>
    </w:p>
    <w:p w14:paraId="7655C744" w14:textId="77777777" w:rsidR="00A93270" w:rsidRPr="00926425" w:rsidRDefault="00A93270" w:rsidP="00B51A9E">
      <w:pPr>
        <w:spacing w:after="0" w:line="240" w:lineRule="auto"/>
        <w:jc w:val="center"/>
        <w:rPr>
          <w:rFonts w:ascii="Times New Roman" w:hAnsi="Times New Roman" w:cs="Times New Roman"/>
          <w:b/>
          <w:sz w:val="28"/>
          <w:szCs w:val="28"/>
        </w:rPr>
      </w:pPr>
    </w:p>
    <w:p w14:paraId="53CA7396" w14:textId="77777777"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ADMINISTRUOTO PRIVALOMOJO SVEIKATOS DRAUDIMO FONDO</w:t>
      </w:r>
    </w:p>
    <w:p w14:paraId="18C13350" w14:textId="77777777"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 xml:space="preserve">2025 METŲ SAUSIO-BIRŽELIO MĖNESIŲ FINANSINIŲ ATASKAITŲ RINKINIO </w:t>
      </w:r>
    </w:p>
    <w:p w14:paraId="46DA342B" w14:textId="77777777" w:rsidR="00A93270" w:rsidRPr="00927C92" w:rsidRDefault="00A93270" w:rsidP="00927C92">
      <w:pPr>
        <w:spacing w:after="0" w:line="240" w:lineRule="auto"/>
        <w:jc w:val="center"/>
        <w:rPr>
          <w:rFonts w:ascii="Times New Roman" w:hAnsi="Times New Roman" w:cs="Times New Roman"/>
          <w:b/>
          <w:bCs/>
          <w:sz w:val="28"/>
          <w:szCs w:val="28"/>
        </w:rPr>
      </w:pPr>
      <w:r w:rsidRPr="00D006BD">
        <w:rPr>
          <w:rFonts w:ascii="Times New Roman" w:hAnsi="Times New Roman" w:cs="Times New Roman"/>
          <w:b/>
          <w:bCs/>
          <w:sz w:val="28"/>
          <w:szCs w:val="28"/>
        </w:rPr>
        <w:t>AIŠKINAMASIS RAŠTAS</w:t>
      </w:r>
    </w:p>
    <w:p w14:paraId="3C1020A0" w14:textId="77777777" w:rsidR="00A93270" w:rsidRPr="00926425" w:rsidRDefault="00A93270" w:rsidP="00762019">
      <w:pPr>
        <w:spacing w:after="0"/>
      </w:pPr>
    </w:p>
    <w:p w14:paraId="5E28082B" w14:textId="10B537FF" w:rsidR="00A93270" w:rsidRPr="00927C92" w:rsidRDefault="00A93270" w:rsidP="00927C92">
      <w:pPr>
        <w:spacing w:after="0" w:line="240" w:lineRule="auto"/>
        <w:jc w:val="center"/>
        <w:rPr>
          <w:rFonts w:ascii="Times New Roman" w:hAnsi="Times New Roman" w:cs="Times New Roman"/>
          <w:b/>
          <w:bCs/>
          <w:sz w:val="24"/>
          <w:szCs w:val="24"/>
        </w:rPr>
      </w:pPr>
      <w:r w:rsidRPr="00D006BD">
        <w:rPr>
          <w:rFonts w:ascii="Times New Roman" w:hAnsi="Times New Roman" w:cs="Times New Roman"/>
          <w:b/>
          <w:bCs/>
          <w:sz w:val="24"/>
          <w:szCs w:val="24"/>
        </w:rPr>
        <w:t>Nr.</w:t>
      </w:r>
    </w:p>
    <w:p w14:paraId="40CE50C2" w14:textId="77777777" w:rsidR="00A93270" w:rsidRPr="00927C92" w:rsidRDefault="00A93270" w:rsidP="00927C92">
      <w:pPr>
        <w:pStyle w:val="Sraopastraipa"/>
        <w:spacing w:before="100" w:beforeAutospacing="1" w:after="100" w:afterAutospacing="1" w:line="240" w:lineRule="auto"/>
        <w:ind w:left="0"/>
        <w:jc w:val="center"/>
        <w:rPr>
          <w:rFonts w:ascii="Times New Roman" w:hAnsi="Times New Roman" w:cs="Times New Roman"/>
          <w:b/>
          <w:bCs/>
          <w:sz w:val="24"/>
          <w:szCs w:val="24"/>
        </w:rPr>
      </w:pPr>
      <w:r w:rsidRPr="00D006BD">
        <w:rPr>
          <w:rFonts w:ascii="Times New Roman" w:hAnsi="Times New Roman" w:cs="Times New Roman"/>
          <w:b/>
          <w:bCs/>
          <w:sz w:val="24"/>
          <w:szCs w:val="24"/>
        </w:rPr>
        <w:t>I. BENDROJI DALIS</w:t>
      </w:r>
    </w:p>
    <w:p w14:paraId="45FCF4F9" w14:textId="77777777" w:rsidR="00A93270" w:rsidRPr="00926425" w:rsidRDefault="00A93270" w:rsidP="002B3BDF">
      <w:pPr>
        <w:pStyle w:val="Sraopastraipa"/>
        <w:spacing w:before="100" w:beforeAutospacing="1" w:after="100" w:afterAutospacing="1" w:line="240" w:lineRule="auto"/>
        <w:ind w:left="0"/>
        <w:rPr>
          <w:rFonts w:ascii="Times New Roman" w:hAnsi="Times New Roman" w:cs="Times New Roman"/>
          <w:b/>
          <w:sz w:val="24"/>
          <w:szCs w:val="24"/>
        </w:rPr>
      </w:pPr>
    </w:p>
    <w:p w14:paraId="144ECDC6" w14:textId="77777777" w:rsidR="00A93270" w:rsidRPr="00927C92" w:rsidRDefault="00A93270" w:rsidP="00927C92">
      <w:pPr>
        <w:pStyle w:val="Sraopastraipa"/>
        <w:spacing w:before="100" w:beforeAutospacing="1" w:after="100" w:afterAutospacing="1" w:line="240" w:lineRule="auto"/>
        <w:ind w:left="0"/>
        <w:jc w:val="center"/>
        <w:rPr>
          <w:rFonts w:ascii="Times New Roman" w:hAnsi="Times New Roman" w:cs="Times New Roman"/>
          <w:b/>
          <w:bCs/>
          <w:sz w:val="24"/>
          <w:szCs w:val="24"/>
        </w:rPr>
      </w:pPr>
      <w:r w:rsidRPr="00D006BD">
        <w:rPr>
          <w:rFonts w:ascii="Times New Roman" w:hAnsi="Times New Roman" w:cs="Times New Roman"/>
          <w:b/>
          <w:bCs/>
          <w:sz w:val="24"/>
          <w:szCs w:val="24"/>
        </w:rPr>
        <w:t>Bendroji informacija</w:t>
      </w:r>
    </w:p>
    <w:p w14:paraId="2E38EC30" w14:textId="77777777" w:rsidR="00A93270" w:rsidRPr="00926425" w:rsidRDefault="00A93270" w:rsidP="0062226E">
      <w:pPr>
        <w:pStyle w:val="Sraopastraipa"/>
        <w:spacing w:after="0" w:line="240" w:lineRule="auto"/>
        <w:ind w:left="0"/>
        <w:jc w:val="center"/>
        <w:rPr>
          <w:rFonts w:ascii="Times New Roman" w:hAnsi="Times New Roman" w:cs="Times New Roman"/>
          <w:b/>
          <w:sz w:val="24"/>
          <w:szCs w:val="24"/>
        </w:rPr>
      </w:pPr>
    </w:p>
    <w:p w14:paraId="58C9BD4F" w14:textId="77777777" w:rsidR="00A93270" w:rsidRPr="00F55D04" w:rsidRDefault="00A93270" w:rsidP="0062226E">
      <w:pPr>
        <w:pStyle w:val="Sraopastraipa"/>
        <w:spacing w:after="0" w:line="240" w:lineRule="auto"/>
        <w:ind w:left="0" w:firstLine="709"/>
        <w:jc w:val="both"/>
        <w:rPr>
          <w:rFonts w:ascii="Times New Roman" w:hAnsi="Times New Roman" w:cs="Times New Roman"/>
          <w:sz w:val="24"/>
          <w:szCs w:val="24"/>
        </w:rPr>
      </w:pPr>
      <w:r w:rsidRPr="000B664B">
        <w:rPr>
          <w:rFonts w:ascii="Times New Roman" w:hAnsi="Times New Roman" w:cs="Times New Roman"/>
          <w:sz w:val="24"/>
          <w:szCs w:val="24"/>
        </w:rPr>
        <w:t xml:space="preserve">Lietuvos Respublikos sveikatos apsaugos ministerijos ir Valstybinės ligonių kasos prie Sveikatos apsaugos ministerijos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w:t>
      </w:r>
      <w:r w:rsidRPr="00F55D04">
        <w:rPr>
          <w:rFonts w:ascii="Times New Roman" w:hAnsi="Times New Roman" w:cs="Times New Roman"/>
          <w:sz w:val="24"/>
          <w:szCs w:val="24"/>
        </w:rPr>
        <w:t>prijungiamų įstaigų teisės ir pareigos pereina Valstybinei ligonių kasai prie Sveikatos apsaugos ministerijos.</w:t>
      </w:r>
    </w:p>
    <w:p w14:paraId="28B59715" w14:textId="20191B69" w:rsidR="007C5A5B" w:rsidRPr="00F55D04" w:rsidRDefault="007C5A5B" w:rsidP="00013EE3">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Klaipėdos teritorinė ligonių kasa (toliau – Klaipėdos TLK) yra juridinis asmuo, išlaikomas iš Privalomojo sveikatos draudimo fondo biudžeto lėšų, turintis antspaudą su Lietuvos valstybės herbu. Teisinė forma - biudžetinė įstaiga.</w:t>
      </w:r>
    </w:p>
    <w:p w14:paraId="5971BD52"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Klaipėdos TLK steigėjas – Valstybinė ligonių kasa prie Sveikatos apsaugos ministerijos.</w:t>
      </w:r>
    </w:p>
    <w:p w14:paraId="7B78D192"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Už savo veiklą Klaipėdos TLK yra atskaitinga Valstybinei ligonių kasai prie Sveikatos apsaugos ministerijos. </w:t>
      </w:r>
    </w:p>
    <w:p w14:paraId="650CC59F"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Įmonės kodas – 188783981</w:t>
      </w:r>
    </w:p>
    <w:p w14:paraId="36066112"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Adresas – Pievų tako g. 38, LT – 92236, Klaipėda. </w:t>
      </w:r>
    </w:p>
    <w:p w14:paraId="2DC6B021"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Socialinio draudimo kodas – 923265. </w:t>
      </w:r>
    </w:p>
    <w:p w14:paraId="3A5FAB7E"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Pagrindinės veiklos kodas - 843000</w:t>
      </w:r>
    </w:p>
    <w:p w14:paraId="0342E1E2"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Kontroliuojamų ir asocijuotų subjektų Klaipėdos TLK neturi. </w:t>
      </w:r>
    </w:p>
    <w:p w14:paraId="37E05E2A"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Klaipėdos teritorinė ligonių kasa turi dvi banko sąskaitas banke “Swedbank”, AB, banko kodas 73000. </w:t>
      </w:r>
    </w:p>
    <w:p w14:paraId="35893A8A"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LT907300010076299897</w:t>
      </w:r>
    </w:p>
    <w:p w14:paraId="6C97A356" w14:textId="77777777" w:rsidR="007C5A5B" w:rsidRPr="00F55D04" w:rsidRDefault="007C5A5B" w:rsidP="00EB2B16">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LT307300010076299813</w:t>
      </w:r>
    </w:p>
    <w:p w14:paraId="55AD47F0" w14:textId="77777777" w:rsidR="00B2414A" w:rsidRDefault="00B2414A" w:rsidP="007C5A5B">
      <w:pPr>
        <w:jc w:val="center"/>
        <w:rPr>
          <w:rFonts w:ascii="Times New Roman" w:hAnsi="Times New Roman" w:cs="Times New Roman"/>
          <w:sz w:val="24"/>
          <w:szCs w:val="24"/>
        </w:rPr>
      </w:pPr>
    </w:p>
    <w:p w14:paraId="106206F7" w14:textId="6FA03AE0" w:rsidR="007C5A5B" w:rsidRPr="00F55D04" w:rsidRDefault="007C5A5B" w:rsidP="007C5A5B">
      <w:pPr>
        <w:jc w:val="center"/>
        <w:rPr>
          <w:rFonts w:ascii="Times New Roman" w:hAnsi="Times New Roman" w:cs="Times New Roman"/>
          <w:sz w:val="24"/>
          <w:szCs w:val="24"/>
        </w:rPr>
      </w:pPr>
      <w:r w:rsidRPr="00F55D04">
        <w:rPr>
          <w:rFonts w:ascii="Times New Roman" w:hAnsi="Times New Roman" w:cs="Times New Roman"/>
          <w:sz w:val="24"/>
          <w:szCs w:val="24"/>
        </w:rPr>
        <w:lastRenderedPageBreak/>
        <w:t>2.VEIKLA</w:t>
      </w:r>
    </w:p>
    <w:p w14:paraId="057BC501" w14:textId="1F978992"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Klaipėdos TLK veiklos tikslas yra, disponuojant jai perduota iš Valstybinės ligonių kasos prie Sveikatos apsaugos ministerijos privalomojo sveikatos draudimo fondo lėšų dalimi, garantuoti privalomuoju sveikatos draudimu apdraustiesiems asmens sveikatos priežiūros paslaugų teikimą ir vaistų, medicinos pagalbos priemonių kompensavimą, bei išlaidų už suteiktas paslaugas ir išduotus vaistus apmokėjimą. Klaipėdos TLK savo veikloje vadovaujasi Lietuvos Respublikos Konstitucija, Sveikatos draudimo įstatymu,</w:t>
      </w:r>
      <w:r w:rsidR="00AE0003">
        <w:rPr>
          <w:rFonts w:ascii="Times New Roman" w:hAnsi="Times New Roman" w:cs="Times New Roman"/>
          <w:sz w:val="24"/>
          <w:szCs w:val="24"/>
        </w:rPr>
        <w:t xml:space="preserve"> kitais įstatymais,</w:t>
      </w:r>
      <w:r w:rsidRPr="00F55D04">
        <w:rPr>
          <w:rFonts w:ascii="Times New Roman" w:hAnsi="Times New Roman" w:cs="Times New Roman"/>
          <w:sz w:val="24"/>
          <w:szCs w:val="24"/>
        </w:rPr>
        <w:t xml:space="preserve"> Lietuvos Respublikos Vyriausybės nutarimais, Sveikatos apsaugos ministerijos ir Valstybinės ligonių kasos įsakymais, kitais teisės aktais. Biudžetinių įstaigų įstatymas TLK taikomas tiek, kiek jos veiklos nereglamentuoja Sveikatos draudimo įstatymas.</w:t>
      </w:r>
    </w:p>
    <w:p w14:paraId="78415807" w14:textId="4ADC29AD" w:rsidR="007C5A5B" w:rsidRPr="00F55D04" w:rsidRDefault="007C5A5B" w:rsidP="00413B77">
      <w:pPr>
        <w:spacing w:after="0"/>
        <w:ind w:firstLine="1296"/>
        <w:contextualSpacing/>
        <w:rPr>
          <w:rFonts w:ascii="Times New Roman" w:hAnsi="Times New Roman" w:cs="Times New Roman"/>
          <w:sz w:val="24"/>
          <w:szCs w:val="24"/>
        </w:rPr>
      </w:pPr>
      <w:r w:rsidRPr="00F55D04">
        <w:rPr>
          <w:rFonts w:ascii="Times New Roman" w:hAnsi="Times New Roman" w:cs="Times New Roman"/>
          <w:sz w:val="24"/>
          <w:szCs w:val="24"/>
        </w:rPr>
        <w:t>Informacija apie apskaitinių įverčių keitimo priežastis, pobūdį ir poveikį 202</w:t>
      </w:r>
      <w:r w:rsidR="009E1B25">
        <w:rPr>
          <w:rFonts w:ascii="Times New Roman" w:hAnsi="Times New Roman" w:cs="Times New Roman"/>
          <w:sz w:val="24"/>
          <w:szCs w:val="24"/>
        </w:rPr>
        <w:t>5</w:t>
      </w:r>
      <w:r w:rsidRPr="00F55D04">
        <w:rPr>
          <w:rFonts w:ascii="Times New Roman" w:hAnsi="Times New Roman" w:cs="Times New Roman"/>
          <w:sz w:val="24"/>
          <w:szCs w:val="24"/>
        </w:rPr>
        <w:t xml:space="preserve"> m. sausio - </w:t>
      </w:r>
      <w:r w:rsidR="00A160E6">
        <w:rPr>
          <w:rFonts w:ascii="Times New Roman" w:hAnsi="Times New Roman" w:cs="Times New Roman"/>
          <w:sz w:val="24"/>
          <w:szCs w:val="24"/>
        </w:rPr>
        <w:t>birželio</w:t>
      </w:r>
      <w:r w:rsidRPr="00F55D04">
        <w:rPr>
          <w:rFonts w:ascii="Times New Roman" w:hAnsi="Times New Roman" w:cs="Times New Roman"/>
          <w:sz w:val="24"/>
          <w:szCs w:val="24"/>
        </w:rPr>
        <w:t xml:space="preserve"> mėn. laikotarpiu apyskaitinių įvertinimų nekeitė.</w:t>
      </w:r>
    </w:p>
    <w:p w14:paraId="2DB2CD71" w14:textId="3CA61764" w:rsidR="005C7DB0" w:rsidRDefault="007C5A5B" w:rsidP="00413B77">
      <w:pPr>
        <w:spacing w:after="0"/>
        <w:ind w:firstLine="1296"/>
        <w:contextualSpacing/>
        <w:rPr>
          <w:rFonts w:ascii="Times New Roman" w:hAnsi="Times New Roman" w:cs="Times New Roman"/>
          <w:sz w:val="24"/>
          <w:szCs w:val="24"/>
        </w:rPr>
      </w:pPr>
      <w:r w:rsidRPr="00F55D04">
        <w:rPr>
          <w:rFonts w:ascii="Times New Roman" w:hAnsi="Times New Roman" w:cs="Times New Roman"/>
          <w:sz w:val="24"/>
          <w:szCs w:val="24"/>
        </w:rPr>
        <w:t>Beviltiškų skolų nuvertėjimo nėra</w:t>
      </w:r>
    </w:p>
    <w:p w14:paraId="2456E930" w14:textId="77777777" w:rsidR="00364F80" w:rsidRDefault="00364F80" w:rsidP="007C5A5B">
      <w:pPr>
        <w:jc w:val="center"/>
        <w:rPr>
          <w:rFonts w:ascii="Times New Roman" w:hAnsi="Times New Roman" w:cs="Times New Roman"/>
          <w:sz w:val="24"/>
          <w:szCs w:val="24"/>
        </w:rPr>
      </w:pPr>
    </w:p>
    <w:p w14:paraId="325186DA" w14:textId="698B6963" w:rsidR="007C5A5B" w:rsidRPr="00F55D04" w:rsidRDefault="007C5A5B" w:rsidP="007C5A5B">
      <w:pPr>
        <w:jc w:val="center"/>
        <w:rPr>
          <w:rFonts w:ascii="Times New Roman" w:hAnsi="Times New Roman" w:cs="Times New Roman"/>
          <w:sz w:val="24"/>
          <w:szCs w:val="24"/>
        </w:rPr>
      </w:pPr>
      <w:r w:rsidRPr="00F55D04">
        <w:rPr>
          <w:rFonts w:ascii="Times New Roman" w:hAnsi="Times New Roman" w:cs="Times New Roman"/>
          <w:sz w:val="24"/>
          <w:szCs w:val="24"/>
        </w:rPr>
        <w:t>II. APSKAITOS POLITIKA</w:t>
      </w:r>
    </w:p>
    <w:p w14:paraId="66D2E29F" w14:textId="7E311957" w:rsidR="007C5A5B" w:rsidRPr="00F55D04" w:rsidRDefault="007C5A5B" w:rsidP="00413B77">
      <w:pPr>
        <w:ind w:firstLine="108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Klaipėdos TLK taiko tokią apskaitos politiką, kuri užtikrina, kad apskaitos duomenys atitiktų kiekvieno taikytino VSAFAS reikalavimus. Pagal subjekto principą Klaipėdos TLK laikoma apskaitos vienetu – atskirai tvarko apskaitą, sudaro ir teikia atskirus finansinių ataskaitų ir biudžeto vykdymo ataskaitų rinkinius. Klaipėdos TLK apskaitoje registruojamas tik jos patikėjimo teise valdomas, naudojamas ir disponuojamas valstybės turtas, finansavimo sumos ir įsipareigojimai, pajamos ir sąnaudos. Turtas, valdomas ir naudojamas kitomis teisėmis (panaudos), registruojamas nebalansinėse sąskaitose. Pagal turinio viršenybės prieš formą principą Klaipėdos TLK apskaitos politikoje ūkiniai įvykiai ir ūkinės operacijos vertinami ir pripažįstami pagal jų ekonominę prasmę ir turinį. Visos ūkinės operacijos ir ūkiniai įvykiai registruojami eurais ir centais sąskaitų plano sąskaitose taikant Klaipėdos TLK apskaitos politiką, parengtą pagal VSAFAS reikalavimus. </w:t>
      </w:r>
    </w:p>
    <w:p w14:paraId="434CE81F" w14:textId="2F878CCB" w:rsidR="007C5A5B" w:rsidRPr="00F55D04" w:rsidRDefault="007C5A5B" w:rsidP="00413B77">
      <w:pPr>
        <w:ind w:firstLine="1080"/>
        <w:contextualSpacing/>
        <w:jc w:val="both"/>
        <w:rPr>
          <w:rFonts w:ascii="Times New Roman" w:hAnsi="Times New Roman" w:cs="Times New Roman"/>
          <w:sz w:val="24"/>
          <w:szCs w:val="24"/>
        </w:rPr>
      </w:pPr>
      <w:r w:rsidRPr="00F55D04">
        <w:rPr>
          <w:rFonts w:ascii="Times New Roman" w:hAnsi="Times New Roman" w:cs="Times New Roman"/>
          <w:sz w:val="24"/>
          <w:szCs w:val="24"/>
        </w:rPr>
        <w:t>Klaipėdos TLK finansinę apskaitą tvarko ir finansinę atskaitomybę rengia vadovaudamasi šiais teisės aktais:</w:t>
      </w:r>
    </w:p>
    <w:p w14:paraId="7871B87D" w14:textId="77777777" w:rsidR="007C5A5B" w:rsidRPr="00F55D04" w:rsidRDefault="007C5A5B" w:rsidP="005C7DB0">
      <w:pPr>
        <w:numPr>
          <w:ilvl w:val="0"/>
          <w:numId w:val="10"/>
        </w:numPr>
        <w:spacing w:after="0" w:line="240" w:lineRule="auto"/>
        <w:contextualSpacing/>
        <w:jc w:val="both"/>
        <w:rPr>
          <w:rFonts w:ascii="Times New Roman" w:hAnsi="Times New Roman" w:cs="Times New Roman"/>
          <w:sz w:val="24"/>
          <w:szCs w:val="24"/>
        </w:rPr>
      </w:pPr>
      <w:r w:rsidRPr="00F55D04">
        <w:rPr>
          <w:rFonts w:ascii="Times New Roman" w:hAnsi="Times New Roman" w:cs="Times New Roman"/>
          <w:sz w:val="24"/>
          <w:szCs w:val="24"/>
        </w:rPr>
        <w:t>Lietuvos Respublikos finansinės apskaitos įstatymu;</w:t>
      </w:r>
    </w:p>
    <w:p w14:paraId="3DBF7B56" w14:textId="77777777" w:rsidR="007C5A5B" w:rsidRPr="00F55D04" w:rsidRDefault="007C5A5B" w:rsidP="005C7DB0">
      <w:pPr>
        <w:numPr>
          <w:ilvl w:val="0"/>
          <w:numId w:val="10"/>
        </w:numPr>
        <w:spacing w:after="0" w:line="240" w:lineRule="auto"/>
        <w:contextualSpacing/>
        <w:jc w:val="both"/>
        <w:rPr>
          <w:rFonts w:ascii="Times New Roman" w:hAnsi="Times New Roman" w:cs="Times New Roman"/>
          <w:sz w:val="24"/>
          <w:szCs w:val="24"/>
        </w:rPr>
      </w:pPr>
      <w:r w:rsidRPr="00F55D04">
        <w:rPr>
          <w:rFonts w:ascii="Times New Roman" w:hAnsi="Times New Roman" w:cs="Times New Roman"/>
          <w:sz w:val="24"/>
          <w:szCs w:val="24"/>
        </w:rPr>
        <w:t>Lietuvos Respublikos viešojo sektoriaus atskaitomybės įstatymu;</w:t>
      </w:r>
    </w:p>
    <w:p w14:paraId="75EB69AE" w14:textId="77777777" w:rsidR="007C5A5B" w:rsidRPr="00F55D04" w:rsidRDefault="007C5A5B" w:rsidP="005C7DB0">
      <w:pPr>
        <w:numPr>
          <w:ilvl w:val="0"/>
          <w:numId w:val="10"/>
        </w:numPr>
        <w:spacing w:after="0" w:line="240" w:lineRule="auto"/>
        <w:contextualSpacing/>
        <w:jc w:val="both"/>
        <w:rPr>
          <w:rFonts w:ascii="Times New Roman" w:hAnsi="Times New Roman" w:cs="Times New Roman"/>
          <w:sz w:val="24"/>
          <w:szCs w:val="24"/>
        </w:rPr>
      </w:pPr>
      <w:r w:rsidRPr="00F55D04">
        <w:rPr>
          <w:rFonts w:ascii="Times New Roman" w:hAnsi="Times New Roman" w:cs="Times New Roman"/>
          <w:sz w:val="24"/>
          <w:szCs w:val="24"/>
        </w:rPr>
        <w:t>Viešojo sektoriaus apskaitos ir finansinės atskaitomybės standartais;</w:t>
      </w:r>
    </w:p>
    <w:p w14:paraId="63423770" w14:textId="77777777" w:rsidR="007C5A5B" w:rsidRPr="00FD2FCD" w:rsidRDefault="007C5A5B" w:rsidP="005C7DB0">
      <w:pPr>
        <w:numPr>
          <w:ilvl w:val="0"/>
          <w:numId w:val="10"/>
        </w:numPr>
        <w:spacing w:after="0" w:line="240" w:lineRule="auto"/>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Lietuvos Respublikos finansų ministro 2008 m. gruodžio 22 d. įsakymu Nr. 1K-455 “Dėl privalomojo bendrojo sąskaitų plano patvirtinimo” (Žin., 2008, Nr. 148-5952; Nr. 74-3020) Valstybinės ligonių kasos prie Sveikatos apsaugos ministerijos direktoriaus 2023 m. lapkričio 20 d. įsakymu Nr. 1K-340 patvirtintas Valstybinės ligonių kasos prie Sveikatos apsaugos ministerijos ir teritorinių ligonių kasų sąskaitų </w:t>
      </w:r>
      <w:r w:rsidRPr="00FD2FCD">
        <w:rPr>
          <w:rFonts w:ascii="Times New Roman" w:hAnsi="Times New Roman" w:cs="Times New Roman"/>
          <w:sz w:val="24"/>
          <w:szCs w:val="24"/>
        </w:rPr>
        <w:t>planu.</w:t>
      </w:r>
    </w:p>
    <w:p w14:paraId="4F93E69C" w14:textId="2997E990" w:rsidR="00FD2FCD" w:rsidRDefault="007C5A5B" w:rsidP="005C7DB0">
      <w:pPr>
        <w:numPr>
          <w:ilvl w:val="0"/>
          <w:numId w:val="10"/>
        </w:numPr>
        <w:spacing w:after="0" w:line="240" w:lineRule="auto"/>
        <w:contextualSpacing/>
        <w:jc w:val="both"/>
        <w:rPr>
          <w:rFonts w:ascii="Times New Roman" w:hAnsi="Times New Roman" w:cs="Times New Roman"/>
          <w:sz w:val="24"/>
          <w:szCs w:val="24"/>
        </w:rPr>
      </w:pPr>
      <w:r w:rsidRPr="00FD2FCD">
        <w:rPr>
          <w:rFonts w:ascii="Times New Roman" w:hAnsi="Times New Roman" w:cs="Times New Roman"/>
          <w:sz w:val="24"/>
          <w:szCs w:val="24"/>
        </w:rPr>
        <w:t>Apskaitos vadovu</w:t>
      </w:r>
      <w:r w:rsidR="00FD2FCD" w:rsidRPr="00FD2FCD">
        <w:rPr>
          <w:rFonts w:ascii="Times New Roman" w:hAnsi="Times New Roman" w:cs="Times New Roman"/>
          <w:sz w:val="24"/>
          <w:szCs w:val="24"/>
        </w:rPr>
        <w:t>,</w:t>
      </w:r>
      <w:r w:rsidRPr="00FD2FCD">
        <w:rPr>
          <w:rFonts w:ascii="Times New Roman" w:hAnsi="Times New Roman" w:cs="Times New Roman"/>
          <w:sz w:val="24"/>
          <w:szCs w:val="24"/>
        </w:rPr>
        <w:t xml:space="preserve"> </w:t>
      </w:r>
      <w:r w:rsidR="00FD2FCD" w:rsidRPr="00FD2FCD" w:rsidDel="00D006BD">
        <w:rPr>
          <w:rFonts w:ascii="Times New Roman" w:hAnsi="Times New Roman" w:cs="Times New Roman"/>
          <w:color w:val="000000"/>
          <w:sz w:val="24"/>
          <w:szCs w:val="24"/>
          <w:lang w:eastAsia="lt-LT"/>
        </w:rPr>
        <w:t xml:space="preserve">Valstybinės ligonių kasos prie Sveikatos apsaugos ministerijos </w:t>
      </w:r>
      <w:r w:rsidR="00FD2FCD" w:rsidRPr="00FD2FCD">
        <w:rPr>
          <w:rFonts w:ascii="Times New Roman" w:hAnsi="Times New Roman" w:cs="Times New Roman"/>
          <w:color w:val="000000"/>
          <w:sz w:val="24"/>
          <w:szCs w:val="24"/>
          <w:lang w:eastAsia="lt-LT"/>
        </w:rPr>
        <w:t>direktoriaus 2011 m. birželio 21 d. įsakymu Nr. 1K-120 su vėlesniais pakeitimais patvirtintu apskaitos vadovu  (vėliausias pakeitimas patvirtintas VLK Direktoriaus įsakymu Nr. 1K-264, 2024 m. rugsėjo 10 d.)</w:t>
      </w:r>
      <w:r w:rsidR="00FD2FCD" w:rsidRPr="00FD2FCD">
        <w:rPr>
          <w:rFonts w:ascii="Times New Roman" w:hAnsi="Times New Roman" w:cs="Times New Roman"/>
          <w:sz w:val="24"/>
          <w:szCs w:val="24"/>
        </w:rPr>
        <w:t xml:space="preserve"> </w:t>
      </w:r>
      <w:bookmarkStart w:id="4" w:name="_Toc117497717"/>
      <w:bookmarkStart w:id="5" w:name="_Toc117399142"/>
      <w:bookmarkStart w:id="6" w:name="_Toc117398938"/>
      <w:bookmarkStart w:id="7" w:name="_Toc117389205"/>
      <w:bookmarkStart w:id="8" w:name="_Toc116445020"/>
      <w:bookmarkStart w:id="9" w:name="_Ref113193490"/>
    </w:p>
    <w:p w14:paraId="38017944" w14:textId="2324A327" w:rsidR="007C5A5B" w:rsidRDefault="007C5A5B" w:rsidP="005C7DB0">
      <w:pPr>
        <w:spacing w:after="0" w:line="240" w:lineRule="auto"/>
        <w:ind w:firstLine="1080"/>
        <w:contextualSpacing/>
        <w:jc w:val="both"/>
        <w:rPr>
          <w:rFonts w:ascii="Times New Roman" w:hAnsi="Times New Roman" w:cs="Times New Roman"/>
          <w:sz w:val="24"/>
          <w:szCs w:val="24"/>
        </w:rPr>
      </w:pPr>
      <w:r w:rsidRPr="00F55D04">
        <w:rPr>
          <w:rFonts w:ascii="Times New Roman" w:hAnsi="Times New Roman" w:cs="Times New Roman"/>
          <w:sz w:val="24"/>
          <w:szCs w:val="24"/>
        </w:rPr>
        <w:t>Apskaitos politika apima ūkinių operacijų ir įvykių pripažinimo, įvertinimo ir apskaitos principus, metodus ir taisykles. TLK taiko tokią apskaitos politiką, kuri užtikrina, kad apskaitos duomenys atitiktų kiekvieno taikytino VSAFAS reikalavimus. Jeigu nėra konkretaus VSAFAS reikalavimo, TLK vadovaujasi bendraisiais apskaitos principais, nustatytais 1-ajame VSAFAS „Informacijos pateikimas finansinių ataskaitų rinkinyje”.</w:t>
      </w:r>
    </w:p>
    <w:p w14:paraId="30CA7397" w14:textId="4733F695" w:rsidR="007C5A5B" w:rsidRPr="00F55D04" w:rsidRDefault="007C5A5B" w:rsidP="00413B77">
      <w:pPr>
        <w:ind w:firstLine="540"/>
        <w:contextualSpacing/>
        <w:jc w:val="both"/>
        <w:rPr>
          <w:rFonts w:ascii="Times New Roman" w:hAnsi="Times New Roman" w:cs="Times New Roman"/>
          <w:sz w:val="24"/>
          <w:szCs w:val="24"/>
        </w:rPr>
      </w:pPr>
      <w:r w:rsidRPr="00F55D04">
        <w:rPr>
          <w:rFonts w:ascii="Times New Roman" w:hAnsi="Times New Roman" w:cs="Times New Roman"/>
          <w:sz w:val="24"/>
          <w:szCs w:val="24"/>
        </w:rPr>
        <w:lastRenderedPageBreak/>
        <w:t xml:space="preserve">Šiame apskaitos vadove pateikta apskaitos politika, ūkinių įvykių ir ūkinių operacijų registravimo tvarka užtikrina, kad finansinėse ataskaitose pateikiama informacija </w:t>
      </w:r>
      <w:proofErr w:type="spellStart"/>
      <w:r w:rsidRPr="00F55D04">
        <w:rPr>
          <w:rFonts w:ascii="Times New Roman" w:hAnsi="Times New Roman" w:cs="Times New Roman"/>
          <w:sz w:val="24"/>
          <w:szCs w:val="24"/>
        </w:rPr>
        <w:t>yr</w:t>
      </w:r>
      <w:bookmarkStart w:id="10" w:name="_Toc117497718"/>
      <w:bookmarkStart w:id="11" w:name="_Toc117399143"/>
      <w:bookmarkStart w:id="12" w:name="_Toc117398939"/>
      <w:bookmarkStart w:id="13" w:name="_Toc117389206"/>
      <w:bookmarkStart w:id="14" w:name="_Toc116445021"/>
      <w:bookmarkEnd w:id="4"/>
      <w:bookmarkEnd w:id="5"/>
      <w:bookmarkEnd w:id="6"/>
      <w:bookmarkEnd w:id="7"/>
      <w:bookmarkEnd w:id="8"/>
      <w:bookmarkEnd w:id="9"/>
      <w:r w:rsidRPr="00F55D04">
        <w:rPr>
          <w:rFonts w:ascii="Times New Roman" w:hAnsi="Times New Roman" w:cs="Times New Roman"/>
          <w:sz w:val="24"/>
          <w:szCs w:val="24"/>
        </w:rPr>
        <w:t>a:svarbi</w:t>
      </w:r>
      <w:proofErr w:type="spellEnd"/>
      <w:r w:rsidRPr="00F55D04">
        <w:rPr>
          <w:rFonts w:ascii="Times New Roman" w:hAnsi="Times New Roman" w:cs="Times New Roman"/>
          <w:sz w:val="24"/>
          <w:szCs w:val="24"/>
        </w:rPr>
        <w:t xml:space="preserve"> vartotojų sprendimams priimti;</w:t>
      </w:r>
    </w:p>
    <w:p w14:paraId="61C123DF" w14:textId="77777777" w:rsidR="007C5A5B" w:rsidRPr="00F55D04" w:rsidRDefault="007C5A5B" w:rsidP="005C7DB0">
      <w:pPr>
        <w:numPr>
          <w:ilvl w:val="0"/>
          <w:numId w:val="9"/>
        </w:numPr>
        <w:spacing w:after="0" w:line="240" w:lineRule="auto"/>
        <w:jc w:val="both"/>
        <w:rPr>
          <w:rFonts w:ascii="Times New Roman" w:hAnsi="Times New Roman" w:cs="Times New Roman"/>
          <w:sz w:val="24"/>
          <w:szCs w:val="24"/>
        </w:rPr>
      </w:pPr>
      <w:r w:rsidRPr="00F55D04">
        <w:rPr>
          <w:rFonts w:ascii="Times New Roman" w:hAnsi="Times New Roman" w:cs="Times New Roman"/>
          <w:sz w:val="24"/>
          <w:szCs w:val="24"/>
        </w:rPr>
        <w:t>patikima, nes: teisingai nurodo TLK finansinius rezultatus, finansinę būklę ir pinigų srautus; parodo ūkinių įvykių ir ūkinių operacijų ekonominę prasmę, ne vien teisinę formą;</w:t>
      </w:r>
    </w:p>
    <w:p w14:paraId="498A0ECF" w14:textId="77777777" w:rsidR="007C5A5B" w:rsidRPr="00F55D04" w:rsidRDefault="007C5A5B" w:rsidP="005C7DB0">
      <w:pPr>
        <w:numPr>
          <w:ilvl w:val="0"/>
          <w:numId w:val="9"/>
        </w:numPr>
        <w:spacing w:after="0" w:line="240" w:lineRule="auto"/>
        <w:jc w:val="both"/>
        <w:rPr>
          <w:rFonts w:ascii="Times New Roman" w:hAnsi="Times New Roman" w:cs="Times New Roman"/>
          <w:sz w:val="24"/>
          <w:szCs w:val="24"/>
        </w:rPr>
      </w:pPr>
      <w:r w:rsidRPr="00F55D04">
        <w:rPr>
          <w:rFonts w:ascii="Times New Roman" w:hAnsi="Times New Roman" w:cs="Times New Roman"/>
          <w:sz w:val="24"/>
          <w:szCs w:val="24"/>
        </w:rPr>
        <w:t>nešališka, netendencinga; apdairiai pateikta (atsargumo principas);</w:t>
      </w:r>
    </w:p>
    <w:p w14:paraId="5066EB26" w14:textId="77777777" w:rsidR="007C5A5B" w:rsidRPr="00F55D04" w:rsidRDefault="007C5A5B" w:rsidP="005C7DB0">
      <w:pPr>
        <w:numPr>
          <w:ilvl w:val="0"/>
          <w:numId w:val="9"/>
        </w:numPr>
        <w:spacing w:after="0" w:line="240" w:lineRule="auto"/>
        <w:jc w:val="both"/>
        <w:rPr>
          <w:rFonts w:ascii="Times New Roman" w:hAnsi="Times New Roman" w:cs="Times New Roman"/>
          <w:sz w:val="24"/>
          <w:szCs w:val="24"/>
        </w:rPr>
      </w:pPr>
      <w:r w:rsidRPr="00F55D04">
        <w:rPr>
          <w:rFonts w:ascii="Times New Roman" w:hAnsi="Times New Roman" w:cs="Times New Roman"/>
          <w:sz w:val="24"/>
          <w:szCs w:val="24"/>
        </w:rPr>
        <w:t>visais reikšmingais atvejais išsami.</w:t>
      </w:r>
    </w:p>
    <w:bookmarkEnd w:id="10"/>
    <w:bookmarkEnd w:id="11"/>
    <w:bookmarkEnd w:id="12"/>
    <w:bookmarkEnd w:id="13"/>
    <w:bookmarkEnd w:id="14"/>
    <w:p w14:paraId="1757E361" w14:textId="5F3572EE" w:rsidR="007C5A5B" w:rsidRPr="00F55D04" w:rsidRDefault="007C5A5B" w:rsidP="00413B77">
      <w:pPr>
        <w:spacing w:after="0"/>
        <w:ind w:firstLine="54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TLK pasirinktą apskaitos politiką taiko nuolat. </w:t>
      </w:r>
    </w:p>
    <w:p w14:paraId="4463F3F2" w14:textId="6967CD64" w:rsidR="00440F8F" w:rsidRDefault="007C5A5B" w:rsidP="005C7DB0">
      <w:pPr>
        <w:spacing w:after="0"/>
        <w:contextualSpacing/>
        <w:jc w:val="both"/>
        <w:rPr>
          <w:rFonts w:ascii="Times New Roman" w:hAnsi="Times New Roman" w:cs="Times New Roman"/>
          <w:sz w:val="24"/>
          <w:szCs w:val="24"/>
        </w:rPr>
      </w:pPr>
      <w:bookmarkStart w:id="15" w:name="_Ref246438485"/>
      <w:r w:rsidRPr="00F55D04">
        <w:rPr>
          <w:rFonts w:ascii="Times New Roman" w:hAnsi="Times New Roman" w:cs="Times New Roman"/>
          <w:sz w:val="24"/>
          <w:szCs w:val="24"/>
        </w:rPr>
        <w:t>Apskaitos politika keičiama dėl VSFAS pasikeitimo arba, jei kiti teisės aktai to reikalauja.</w:t>
      </w:r>
      <w:bookmarkStart w:id="16" w:name="_Toc165116101"/>
      <w:bookmarkStart w:id="17" w:name="_Toc165116728"/>
      <w:bookmarkStart w:id="18" w:name="_Toc165116926"/>
      <w:bookmarkStart w:id="19" w:name="_Toc165125220"/>
      <w:bookmarkStart w:id="20" w:name="_Toc165137569"/>
      <w:bookmarkStart w:id="21" w:name="_Toc165116102"/>
      <w:bookmarkStart w:id="22" w:name="_Toc165116729"/>
      <w:bookmarkStart w:id="23" w:name="_Toc165116927"/>
      <w:bookmarkStart w:id="24" w:name="_Toc165125221"/>
      <w:bookmarkStart w:id="25" w:name="_Toc165137570"/>
      <w:bookmarkEnd w:id="15"/>
      <w:bookmarkEnd w:id="16"/>
      <w:bookmarkEnd w:id="17"/>
      <w:bookmarkEnd w:id="18"/>
      <w:bookmarkEnd w:id="19"/>
      <w:bookmarkEnd w:id="20"/>
      <w:bookmarkEnd w:id="21"/>
      <w:bookmarkEnd w:id="22"/>
      <w:bookmarkEnd w:id="23"/>
      <w:bookmarkEnd w:id="24"/>
      <w:bookmarkEnd w:id="25"/>
    </w:p>
    <w:p w14:paraId="13847A09" w14:textId="66F1217A" w:rsidR="007C5A5B" w:rsidRPr="00F55D04" w:rsidRDefault="007C5A5B" w:rsidP="005C7DB0">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Įstaigoje finansinė apskaita vedama kompiuterizuotai naudojant “SAP FVAIS” programą. 202</w:t>
      </w:r>
      <w:r w:rsidR="00FD2FCD">
        <w:rPr>
          <w:rFonts w:ascii="Times New Roman" w:hAnsi="Times New Roman" w:cs="Times New Roman"/>
          <w:sz w:val="24"/>
          <w:szCs w:val="24"/>
        </w:rPr>
        <w:t>5</w:t>
      </w:r>
      <w:r w:rsidRPr="00F55D04">
        <w:rPr>
          <w:rFonts w:ascii="Times New Roman" w:hAnsi="Times New Roman" w:cs="Times New Roman"/>
          <w:sz w:val="24"/>
          <w:szCs w:val="24"/>
        </w:rPr>
        <w:t xml:space="preserve"> m.</w:t>
      </w:r>
      <w:r w:rsidR="00FD2FCD">
        <w:rPr>
          <w:rFonts w:ascii="Times New Roman" w:hAnsi="Times New Roman" w:cs="Times New Roman"/>
          <w:sz w:val="24"/>
          <w:szCs w:val="24"/>
        </w:rPr>
        <w:t xml:space="preserve"> sausio-birželio f</w:t>
      </w:r>
      <w:r w:rsidRPr="00F55D04">
        <w:rPr>
          <w:rFonts w:ascii="Times New Roman" w:hAnsi="Times New Roman" w:cs="Times New Roman"/>
          <w:sz w:val="24"/>
          <w:szCs w:val="24"/>
        </w:rPr>
        <w:t xml:space="preserve">inansinė atskaitomybė sudaryta naudojant Lietuvos Respublikos piniginį vienetą – eurą. Iki atskaitomybės sudarymo į apskaitą įtrauktos visos TLK ataskaitinio laikotarpio ūkinės operacijos ir ūkiniai įvykiai.  </w:t>
      </w:r>
    </w:p>
    <w:p w14:paraId="7C7801D5" w14:textId="630F9F86" w:rsidR="007C5A5B" w:rsidRPr="005E06AC" w:rsidRDefault="007C5A5B" w:rsidP="0A6D203E">
      <w:pPr>
        <w:pStyle w:val="Antrat3"/>
        <w:rPr>
          <w:rFonts w:ascii="Times New Roman" w:hAnsi="Times New Roman" w:cs="Times New Roman"/>
          <w:b/>
          <w:i/>
          <w:color w:val="auto"/>
          <w:sz w:val="24"/>
          <w:szCs w:val="24"/>
        </w:rPr>
      </w:pPr>
      <w:r w:rsidRPr="0A6D203E">
        <w:rPr>
          <w:rFonts w:ascii="Times New Roman" w:hAnsi="Times New Roman" w:cs="Times New Roman"/>
          <w:b/>
          <w:bCs/>
          <w:i/>
          <w:iCs/>
          <w:color w:val="auto"/>
          <w:sz w:val="24"/>
          <w:szCs w:val="24"/>
        </w:rPr>
        <w:t>Finansinis turtas</w:t>
      </w:r>
    </w:p>
    <w:p w14:paraId="341ED267" w14:textId="59E90EDC"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Finansinio turto apskaitos metodai ir taisyklės nustatyti 17-ajame VSAFAS „Finansinis turtas ir finansiniai įsipareigojimai”.</w:t>
      </w:r>
    </w:p>
    <w:p w14:paraId="1D7A7BCF" w14:textId="4D9EA33C"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Finansinis turtas TLK apskaitoje grupuojamas į ilgalaikį ir trumpalaikį.</w:t>
      </w:r>
    </w:p>
    <w:p w14:paraId="4DF06DEB" w14:textId="77777777" w:rsidR="007C5A5B" w:rsidRPr="00440F8F" w:rsidRDefault="007C5A5B" w:rsidP="007C5A5B">
      <w:pPr>
        <w:pStyle w:val="Antrat3"/>
        <w:rPr>
          <w:rStyle w:val="BoldItalic"/>
          <w:rFonts w:ascii="Times New Roman" w:hAnsi="Times New Roman" w:cs="Times New Roman"/>
          <w:color w:val="auto"/>
          <w:sz w:val="24"/>
          <w:szCs w:val="24"/>
        </w:rPr>
      </w:pPr>
      <w:bookmarkStart w:id="26" w:name="_Toc165137588"/>
      <w:bookmarkEnd w:id="26"/>
      <w:r w:rsidRPr="00440F8F">
        <w:rPr>
          <w:rStyle w:val="BoldItalic"/>
          <w:rFonts w:ascii="Times New Roman" w:hAnsi="Times New Roman" w:cs="Times New Roman"/>
          <w:color w:val="auto"/>
          <w:sz w:val="24"/>
          <w:szCs w:val="24"/>
        </w:rPr>
        <w:t>Gautinos sumos</w:t>
      </w:r>
    </w:p>
    <w:p w14:paraId="213EC316" w14:textId="63805736"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Gautinos sumos pirminio pripažinimo metu yra įvertinamos įsigijimo savikaina. </w:t>
      </w:r>
    </w:p>
    <w:p w14:paraId="7FCEF363" w14:textId="7B96CE96"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Vėliau ilgalaikės gautinos sumos ataskaitose parodomos amortizuota savikaina, o trumpalaikės gautinos sumos – įsigijimo savikaina, atėmus nuvertėjimo nuostolius. Gautinų sumų nuvertėjimo apskaičiavimo principai ir gautinų sumų apskaitos tvarka ir procedūros išsamiai aprašytos TLK išankstinių apmokėjimų ir gautinų sumų apskaitos tvarkos aprašuose.</w:t>
      </w:r>
    </w:p>
    <w:p w14:paraId="054532E4" w14:textId="77777777" w:rsidR="007C5A5B" w:rsidRPr="005E06AC" w:rsidRDefault="007C5A5B">
      <w:pPr>
        <w:pStyle w:val="Antrat3"/>
        <w:rPr>
          <w:rStyle w:val="BoldItalic"/>
          <w:rFonts w:ascii="Times New Roman" w:hAnsi="Times New Roman" w:cs="Times New Roman"/>
          <w:i w:val="0"/>
          <w:color w:val="auto"/>
          <w:sz w:val="24"/>
          <w:szCs w:val="24"/>
        </w:rPr>
      </w:pPr>
      <w:r w:rsidRPr="005C7DB0">
        <w:rPr>
          <w:rStyle w:val="BoldItalic"/>
          <w:rFonts w:ascii="Times New Roman" w:hAnsi="Times New Roman" w:cs="Times New Roman"/>
          <w:color w:val="auto"/>
          <w:sz w:val="24"/>
          <w:szCs w:val="24"/>
        </w:rPr>
        <w:t>Pinigai ir pinigų ekvivalentai</w:t>
      </w:r>
    </w:p>
    <w:p w14:paraId="7A006B18" w14:textId="452D72B8" w:rsidR="007C5A5B" w:rsidRPr="00F55D04" w:rsidRDefault="007C5A5B" w:rsidP="00413B77">
      <w:pPr>
        <w:ind w:firstLine="1296"/>
        <w:jc w:val="both"/>
        <w:rPr>
          <w:rFonts w:ascii="Times New Roman" w:hAnsi="Times New Roman" w:cs="Times New Roman"/>
          <w:sz w:val="24"/>
          <w:szCs w:val="24"/>
        </w:rPr>
      </w:pPr>
      <w:r w:rsidRPr="00F55D04">
        <w:rPr>
          <w:rFonts w:ascii="Times New Roman" w:hAnsi="Times New Roman" w:cs="Times New Roman"/>
          <w:sz w:val="24"/>
          <w:szCs w:val="24"/>
        </w:rPr>
        <w:t xml:space="preserve">Pinigus sudaro pinigai banko sąskaitose. Pinigų ekvivalentai yra trumpalaikės, likvidžios investicijos, kurios gali būti greitai ir lengvai iškeičiamos į žinomą pinigų sumą. Tokių investicijų terminas neviršija trijų mėnesių, o vertės pokyčių rizika yra labai nedidelė. </w:t>
      </w:r>
    </w:p>
    <w:p w14:paraId="4BB989A4" w14:textId="77777777" w:rsidR="007C5A5B" w:rsidRPr="005E06AC" w:rsidRDefault="007C5A5B" w:rsidP="0A6D203E">
      <w:pPr>
        <w:pStyle w:val="Antrat3"/>
        <w:rPr>
          <w:rFonts w:ascii="Times New Roman" w:hAnsi="Times New Roman" w:cs="Times New Roman"/>
          <w:b/>
          <w:i/>
          <w:color w:val="auto"/>
          <w:sz w:val="24"/>
          <w:szCs w:val="24"/>
        </w:rPr>
      </w:pPr>
      <w:bookmarkStart w:id="27" w:name="_Toc165137890"/>
      <w:bookmarkEnd w:id="27"/>
      <w:r w:rsidRPr="0A6D203E">
        <w:rPr>
          <w:rFonts w:ascii="Times New Roman" w:hAnsi="Times New Roman" w:cs="Times New Roman"/>
          <w:b/>
          <w:bCs/>
          <w:i/>
          <w:iCs/>
          <w:color w:val="auto"/>
          <w:sz w:val="24"/>
          <w:szCs w:val="24"/>
        </w:rPr>
        <w:t>Finansavimo sumos</w:t>
      </w:r>
    </w:p>
    <w:p w14:paraId="2E4D06AC" w14:textId="69177D43" w:rsidR="007C5A5B" w:rsidRPr="00F55D04"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Finansavimo sumų apskaitos metodai ir taisyklės nustatyti 20-ajame VSAFAS „Finansavimo sumos”.</w:t>
      </w:r>
    </w:p>
    <w:p w14:paraId="5C05AEA1" w14:textId="4F1EBBCD" w:rsidR="007C5A5B" w:rsidRPr="00F55D04"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Finansavimo sumos pripažįstamos, kai atitinka VSAFAS nustatytus kriterijus.</w:t>
      </w:r>
    </w:p>
    <w:p w14:paraId="61092E87" w14:textId="2E6761C6" w:rsidR="007C5A5B" w:rsidRPr="00F55D04"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 xml:space="preserve">Finansavimo sumos apima ir gautus arba gautinus pinigus, ir kitą turtą pavedimams vykdyti, kitas lėšas išlaidoms dengti ir paramos būdu gautą turtą. </w:t>
      </w:r>
    </w:p>
    <w:p w14:paraId="384ADB4B" w14:textId="55AB79AA" w:rsidR="007C5A5B" w:rsidRPr="00F55D04"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Finansavimo sumos nepiniginiam turtui įsigyti gaunamos kaip nemokamai gautas ilgalaikis turtas arba atsargos, įskaitant paramą, arba kaip pinigai, skirti ilgalaikiam arba trumpalaikiam nepiniginiam turtui įsigyti.</w:t>
      </w:r>
    </w:p>
    <w:p w14:paraId="43DB394C" w14:textId="0B22EB59" w:rsidR="005C7DB0"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 xml:space="preserve">Finansavimo sumos kitoms išlaidoms dengti yra skirtos ataskaitinio laikotarpio išlaidoms (negautoms pajamoms) kompensuoti. Taip pat finansavimo sumomis, skirtomis kitoms išlaidoms kompensuoti, yra laikomos visos likusios finansavimo sumos, nepriskiriamos sumoms nepiniginiam turtui įsigyti. </w:t>
      </w:r>
    </w:p>
    <w:p w14:paraId="5F31485F" w14:textId="6854753F" w:rsidR="007C5A5B" w:rsidRDefault="007C5A5B" w:rsidP="00413B77">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Gautos (gautinos) ir panaudotos finansavimo sumos arba jų dalis pripažįstamos finansavimo pajamomis tais laikotarpiais, kuriais patiriamos su finansavimo sumomis susijusios sąnaudos.</w:t>
      </w:r>
    </w:p>
    <w:p w14:paraId="396334A3" w14:textId="77777777" w:rsidR="005C7DB0" w:rsidRPr="00F55D04" w:rsidRDefault="005C7DB0" w:rsidP="005C7DB0">
      <w:pPr>
        <w:spacing w:after="0"/>
        <w:contextualSpacing/>
        <w:mirrorIndents/>
        <w:jc w:val="both"/>
        <w:rPr>
          <w:rFonts w:ascii="Times New Roman" w:hAnsi="Times New Roman" w:cs="Times New Roman"/>
          <w:sz w:val="24"/>
          <w:szCs w:val="24"/>
        </w:rPr>
      </w:pPr>
    </w:p>
    <w:p w14:paraId="55DD1D04" w14:textId="067F0688" w:rsidR="007C5A5B" w:rsidRPr="005E06AC" w:rsidRDefault="007C5A5B" w:rsidP="0A6D203E">
      <w:pPr>
        <w:jc w:val="both"/>
        <w:rPr>
          <w:rFonts w:ascii="Times New Roman" w:hAnsi="Times New Roman" w:cs="Times New Roman"/>
          <w:b/>
          <w:i/>
          <w:sz w:val="24"/>
          <w:szCs w:val="24"/>
        </w:rPr>
      </w:pPr>
      <w:bookmarkStart w:id="28" w:name="_Toc185240816"/>
      <w:r w:rsidRPr="0A6D203E">
        <w:rPr>
          <w:rFonts w:ascii="Times New Roman" w:hAnsi="Times New Roman" w:cs="Times New Roman"/>
          <w:b/>
          <w:bCs/>
          <w:i/>
          <w:iCs/>
          <w:sz w:val="24"/>
          <w:szCs w:val="24"/>
        </w:rPr>
        <w:lastRenderedPageBreak/>
        <w:t>Finansiniai įsipareigojimai</w:t>
      </w:r>
      <w:bookmarkEnd w:id="28"/>
    </w:p>
    <w:p w14:paraId="3A22E59B" w14:textId="70FF8AC6" w:rsidR="007C5A5B" w:rsidRDefault="007C5A5B" w:rsidP="00364F80">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Finansinių įsipareigojimų apskaitos principai, metodai ir taisyklės nustatyti 17-ajame VSAFAS „Finansinis turtas ir finansiniai įsipareigojimai”, 18-ajame VSAFAS „Atidėjiniai, neapibrėžtieji įsipareigojimai, neapibrėžtasis turtas ir </w:t>
      </w:r>
      <w:proofErr w:type="spellStart"/>
      <w:r w:rsidRPr="00F55D04">
        <w:rPr>
          <w:rFonts w:ascii="Times New Roman" w:hAnsi="Times New Roman" w:cs="Times New Roman"/>
          <w:sz w:val="24"/>
          <w:szCs w:val="24"/>
        </w:rPr>
        <w:t>poataskaitiniai</w:t>
      </w:r>
      <w:proofErr w:type="spellEnd"/>
      <w:r w:rsidRPr="00F55D04">
        <w:rPr>
          <w:rFonts w:ascii="Times New Roman" w:hAnsi="Times New Roman" w:cs="Times New Roman"/>
          <w:sz w:val="24"/>
          <w:szCs w:val="24"/>
        </w:rPr>
        <w:t xml:space="preserve"> įvykiai“, 19-ajame VSAFAS „Nuoma, finansinė nuoma (lizingas) ir kitos turto perdavimo sutartys“.</w:t>
      </w:r>
    </w:p>
    <w:p w14:paraId="779B38B9" w14:textId="77777777" w:rsidR="00454B3E" w:rsidRDefault="00454B3E" w:rsidP="005C7DB0">
      <w:pPr>
        <w:spacing w:after="0"/>
        <w:contextualSpacing/>
        <w:jc w:val="both"/>
        <w:rPr>
          <w:rFonts w:ascii="Times New Roman" w:hAnsi="Times New Roman" w:cs="Times New Roman"/>
          <w:sz w:val="24"/>
          <w:szCs w:val="24"/>
        </w:rPr>
      </w:pPr>
    </w:p>
    <w:p w14:paraId="0F0AC42D" w14:textId="3AD5EE48" w:rsidR="00454B3E" w:rsidRPr="005E06AC" w:rsidRDefault="00454B3E" w:rsidP="0A6D203E">
      <w:pPr>
        <w:jc w:val="both"/>
        <w:rPr>
          <w:rFonts w:ascii="Times New Roman" w:hAnsi="Times New Roman" w:cs="Times New Roman"/>
          <w:b/>
          <w:i/>
          <w:sz w:val="24"/>
          <w:szCs w:val="24"/>
        </w:rPr>
      </w:pPr>
      <w:r w:rsidRPr="0A6D203E">
        <w:rPr>
          <w:rFonts w:ascii="Times New Roman" w:hAnsi="Times New Roman" w:cs="Times New Roman"/>
          <w:b/>
          <w:bCs/>
          <w:i/>
          <w:iCs/>
          <w:sz w:val="24"/>
          <w:szCs w:val="24"/>
        </w:rPr>
        <w:t>Išan</w:t>
      </w:r>
      <w:r w:rsidR="009136D0" w:rsidRPr="0A6D203E">
        <w:rPr>
          <w:rFonts w:ascii="Times New Roman" w:hAnsi="Times New Roman" w:cs="Times New Roman"/>
          <w:b/>
          <w:bCs/>
          <w:i/>
          <w:iCs/>
          <w:sz w:val="24"/>
          <w:szCs w:val="24"/>
        </w:rPr>
        <w:t>kstiniai apmokėjimai</w:t>
      </w:r>
    </w:p>
    <w:p w14:paraId="268CE122" w14:textId="167BC13F" w:rsidR="009136D0" w:rsidRPr="009136D0" w:rsidRDefault="008F6B11" w:rsidP="00364F80">
      <w:pPr>
        <w:ind w:firstLine="1296"/>
        <w:jc w:val="both"/>
        <w:rPr>
          <w:rFonts w:ascii="Times New Roman" w:hAnsi="Times New Roman" w:cs="Times New Roman"/>
          <w:sz w:val="24"/>
          <w:szCs w:val="24"/>
        </w:rPr>
      </w:pPr>
      <w:r>
        <w:rPr>
          <w:rFonts w:ascii="Times New Roman" w:hAnsi="Times New Roman" w:cs="Times New Roman"/>
          <w:sz w:val="24"/>
          <w:szCs w:val="24"/>
        </w:rPr>
        <w:t xml:space="preserve">Informacija apie išankstinius apmokėjimus pateikiama pagal </w:t>
      </w:r>
      <w:r w:rsidR="00746955">
        <w:rPr>
          <w:rFonts w:ascii="Times New Roman" w:hAnsi="Times New Roman" w:cs="Times New Roman"/>
          <w:sz w:val="24"/>
          <w:szCs w:val="24"/>
        </w:rPr>
        <w:t xml:space="preserve"> 6-ojo VSAFAS 6 priede. </w:t>
      </w:r>
    </w:p>
    <w:p w14:paraId="1662EB8E" w14:textId="77777777" w:rsidR="007C5A5B" w:rsidRDefault="007C5A5B" w:rsidP="0A6D203E">
      <w:pPr>
        <w:pStyle w:val="Antrat3"/>
        <w:rPr>
          <w:rFonts w:ascii="Times New Roman" w:hAnsi="Times New Roman" w:cs="Times New Roman"/>
          <w:b/>
          <w:bCs/>
          <w:i/>
          <w:iCs/>
          <w:color w:val="auto"/>
          <w:sz w:val="24"/>
          <w:szCs w:val="24"/>
        </w:rPr>
      </w:pPr>
      <w:r w:rsidRPr="0A6D203E">
        <w:rPr>
          <w:rFonts w:ascii="Times New Roman" w:hAnsi="Times New Roman" w:cs="Times New Roman"/>
          <w:b/>
          <w:bCs/>
          <w:i/>
          <w:iCs/>
          <w:color w:val="auto"/>
          <w:sz w:val="24"/>
          <w:szCs w:val="24"/>
        </w:rPr>
        <w:t>Atidėjiniai</w:t>
      </w:r>
    </w:p>
    <w:p w14:paraId="6CDEA3C0" w14:textId="77777777" w:rsidR="006B711D" w:rsidRPr="006B711D" w:rsidRDefault="006B711D" w:rsidP="005E06AC"/>
    <w:p w14:paraId="56781941" w14:textId="55194323" w:rsidR="007C5A5B" w:rsidRDefault="007C5A5B" w:rsidP="007C5A5B">
      <w:pPr>
        <w:ind w:firstLine="720"/>
        <w:jc w:val="both"/>
        <w:rPr>
          <w:rFonts w:ascii="Times New Roman" w:hAnsi="Times New Roman" w:cs="Times New Roman"/>
          <w:sz w:val="24"/>
          <w:szCs w:val="24"/>
        </w:rPr>
      </w:pPr>
      <w:r w:rsidRPr="00F55D04">
        <w:rPr>
          <w:rFonts w:ascii="Times New Roman" w:hAnsi="Times New Roman" w:cs="Times New Roman"/>
          <w:sz w:val="24"/>
          <w:szCs w:val="24"/>
        </w:rPr>
        <w:t>Atidėjiniai pripažįstami ir registruojami apskaitoje, kai dėl įvykio praeityje TLK fondas turi dabartinę teisinę prievolę ar neatšaukiamąjį pasižadėjimą ir tikėtina, kad jam įvykdyti bus reikalingi ištekliai, o įsipareigojimo suma gali būti patikimai įvertinta. Jei patenkinamos ne visos šios sąlygos, atidėjiniai nėra pripažįstami, o informacija apie susijusį su tikėtina sumokėti suma neapibrėžtąjį įsipareigojimą pateikiama finansinių ataskaitų aiškinamajame rašte. Atidėjiniai ir neapibrėžtieji įsipareigojimai atsirandantys dėl TLK fondo teikiamos socialinės naudos (už kurią atitinkamai TLK fondas tiesiogiai iš socialinės naudos gavėjo negauna atlygio, apytikriai lygaus suteiktos naudos vertei) apskaitoje neregistruojami. TLK fondo teikiama socialinė nauda suprantama kaip privalomojo sveikatos draudimo vykdymas įgyvendinant Vyriausybės socialinę politiką, kuomet vykdytoju yra pats TLK fondas. Atidėjiniai yra peržiūrimi paskutinę kiekvieno ketvirčio dieną ir koreguojami, atsižvelgiant į naujus įvykius ar aplinkybes, kad parodytų tiksliausią dabartinį įvertinimą</w:t>
      </w:r>
      <w:r w:rsidR="005E06AC">
        <w:rPr>
          <w:rFonts w:ascii="Times New Roman" w:hAnsi="Times New Roman" w:cs="Times New Roman"/>
          <w:sz w:val="24"/>
          <w:szCs w:val="24"/>
        </w:rPr>
        <w:t>.</w:t>
      </w:r>
    </w:p>
    <w:p w14:paraId="145F0221" w14:textId="77777777" w:rsidR="006B711D" w:rsidRPr="00F55D04" w:rsidRDefault="006B711D" w:rsidP="007C5A5B">
      <w:pPr>
        <w:ind w:firstLine="720"/>
        <w:jc w:val="both"/>
        <w:rPr>
          <w:rFonts w:ascii="Times New Roman" w:hAnsi="Times New Roman" w:cs="Times New Roman"/>
          <w:sz w:val="24"/>
          <w:szCs w:val="24"/>
        </w:rPr>
      </w:pPr>
    </w:p>
    <w:p w14:paraId="2A13E950" w14:textId="77777777" w:rsidR="007C5A5B" w:rsidRPr="00C9260B" w:rsidRDefault="007C5A5B" w:rsidP="188ED74E">
      <w:pPr>
        <w:pStyle w:val="Antrat3"/>
        <w:rPr>
          <w:rFonts w:ascii="Times New Roman" w:hAnsi="Times New Roman" w:cs="Times New Roman"/>
          <w:b/>
          <w:i/>
          <w:color w:val="auto"/>
          <w:sz w:val="24"/>
          <w:szCs w:val="24"/>
        </w:rPr>
      </w:pPr>
      <w:r w:rsidRPr="188ED74E">
        <w:rPr>
          <w:rFonts w:ascii="Times New Roman" w:hAnsi="Times New Roman" w:cs="Times New Roman"/>
          <w:b/>
          <w:bCs/>
          <w:i/>
          <w:iCs/>
          <w:color w:val="auto"/>
          <w:sz w:val="24"/>
          <w:szCs w:val="24"/>
        </w:rPr>
        <w:t>Pajamos</w:t>
      </w:r>
    </w:p>
    <w:p w14:paraId="3C2BB9E8" w14:textId="0517423B"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Pajamų apskaitos principai, metodai ir taisyklės nustatyti 9-ajame VSAFAS „Mokesčių ir socialinių įmokų pajamos”, 10-ajame VSAFAS „Kitos pajamos” ir 20-ajame VSAFAS „Finansavimo sumos”.</w:t>
      </w:r>
    </w:p>
    <w:p w14:paraId="7487DBCF" w14:textId="13B44066"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Pajamų apskaitai taikomas kaupimo principas. Finansavimo pajamos pripažįstamos tuo pačiu laikotarpiu, kai yra patiriamos su šiomis pajamomis susijusios sąnaudos.</w:t>
      </w:r>
    </w:p>
    <w:p w14:paraId="1B088EEF" w14:textId="11DAD89A"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Pajamos, išskyrus finansavimo pajamas, pripažįstamos, kai tikėtina, kad TLK gaus su sandoriu susijusią ekonominę naudą, kai galima patikimai įvertinti pajamų sumą ir kai TLK gali patikimai įvertinti su pajamų uždirbimu susijusias sąnaudas. Pardavimo ir paslaugų pajamos registruojamos atėmus suteiktas nuolaidas.</w:t>
      </w:r>
    </w:p>
    <w:p w14:paraId="32602EAE" w14:textId="18911B8E"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Pajamos registruojamos apskaitoje ir rodomos finansinėse ataskaitose tą ataskaitinį laikotarpį, kurį yra uždirbamos, t. y. kurį suteikiamos viešosios paslaugos, atliekami darbai ar parduodamos prekės ar kt., neatsižvelgiant į pinigų gavimo laiką. </w:t>
      </w:r>
    </w:p>
    <w:p w14:paraId="31261E42" w14:textId="77777777" w:rsidR="007C5A5B" w:rsidRPr="005B3578" w:rsidRDefault="007C5A5B" w:rsidP="0A6D203E">
      <w:pPr>
        <w:pStyle w:val="Antrat3"/>
      </w:pPr>
      <w:r w:rsidRPr="0A6D203E">
        <w:rPr>
          <w:rFonts w:ascii="Times New Roman" w:hAnsi="Times New Roman" w:cs="Times New Roman"/>
          <w:b/>
          <w:bCs/>
          <w:i/>
          <w:iCs/>
          <w:color w:val="auto"/>
          <w:sz w:val="24"/>
          <w:szCs w:val="24"/>
        </w:rPr>
        <w:t>Sąnaudos</w:t>
      </w:r>
    </w:p>
    <w:p w14:paraId="78A153C6" w14:textId="16F0C5F6"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Sąnaudų apskaitos principai, metodai ir taisyklės nustatyti 11-ajame VSAFAS „Sąnaudos”. Sąnaudų, susijusių su turtu, finansavimo sumomis ir įsipareigojimais, apskaitos principai nustatyti 20-ajame VSAFAS „Finansavimo sumos”. </w:t>
      </w:r>
    </w:p>
    <w:p w14:paraId="6017D3E1" w14:textId="2DE72C09" w:rsidR="007C5A5B" w:rsidRPr="00F55D04" w:rsidRDefault="007C5A5B" w:rsidP="00413B77">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w:t>
      </w:r>
      <w:r w:rsidRPr="00F55D04">
        <w:rPr>
          <w:rFonts w:ascii="Times New Roman" w:hAnsi="Times New Roman" w:cs="Times New Roman"/>
          <w:sz w:val="24"/>
          <w:szCs w:val="24"/>
        </w:rPr>
        <w:lastRenderedPageBreak/>
        <w:t>susieti su tam tikrų pajamų uždirbimu ir jos neduos ekonominės naudos ateinančiais ataskaitiniais laikotarpiais, šios išlaidos pripažįstamos sąnaudomis tą patį laikotarpį, kada buvo patirtos.</w:t>
      </w:r>
    </w:p>
    <w:p w14:paraId="0D284FCF" w14:textId="7C31E757"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Sąnaudų dydis įvertinamas sumokėta arba mokėtina pinigų arba jų ekvivalentų suma. Tais atvejais, kai numatytas ilgas atsiskaitymo laikotarpis ir palūkanos nėra išskirtos iš bendros mokėtinos sumos, sąnaudų dydis įvertinamas diskontuojant atsiskaitymo sumą ir taikant rinkos palūkanų normą.</w:t>
      </w:r>
    </w:p>
    <w:p w14:paraId="148F155A" w14:textId="77777777" w:rsidR="007C5A5B" w:rsidRPr="005B3578" w:rsidRDefault="007C5A5B" w:rsidP="0A6D203E">
      <w:pPr>
        <w:pStyle w:val="Antrat3"/>
      </w:pPr>
      <w:bookmarkStart w:id="29" w:name="_Toc165137900"/>
      <w:bookmarkStart w:id="30" w:name="_Toc165137902"/>
      <w:bookmarkEnd w:id="29"/>
      <w:bookmarkEnd w:id="30"/>
      <w:r w:rsidRPr="0A6D203E">
        <w:rPr>
          <w:rFonts w:ascii="Times New Roman" w:hAnsi="Times New Roman" w:cs="Times New Roman"/>
          <w:b/>
          <w:bCs/>
          <w:i/>
          <w:iCs/>
          <w:color w:val="auto"/>
          <w:sz w:val="24"/>
          <w:szCs w:val="24"/>
        </w:rPr>
        <w:t>Neapibrėžtieji įsipareigojimai ir neapibrėžtasis turtas</w:t>
      </w:r>
    </w:p>
    <w:p w14:paraId="4997CAC2" w14:textId="2184E0E1"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Neapibrėžtųjų įsipareigojimų ir neapibrėžtojo turto apskaitos principai nustatyti 18-ajame VSAFAS „Atidėjiniai, neapibrėžtieji įsipareigojimai, neapibrėžtasis turtas ir </w:t>
      </w:r>
      <w:proofErr w:type="spellStart"/>
      <w:r w:rsidRPr="00F55D04">
        <w:rPr>
          <w:rFonts w:ascii="Times New Roman" w:hAnsi="Times New Roman" w:cs="Times New Roman"/>
          <w:sz w:val="24"/>
          <w:szCs w:val="24"/>
        </w:rPr>
        <w:t>poataskaitiniai</w:t>
      </w:r>
      <w:proofErr w:type="spellEnd"/>
      <w:r w:rsidRPr="00F55D04">
        <w:rPr>
          <w:rFonts w:ascii="Times New Roman" w:hAnsi="Times New Roman" w:cs="Times New Roman"/>
          <w:sz w:val="24"/>
          <w:szCs w:val="24"/>
        </w:rPr>
        <w:t xml:space="preserve"> įvykiai”. </w:t>
      </w:r>
    </w:p>
    <w:p w14:paraId="5F4A525C" w14:textId="01B3DD5A"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Neapibrėžtasis turtas finansinėse ataskaitose nerodomas, kol nėra aišku, ar jis duos TLK ekonominės naudos. Jei ekonominė nauda tikėtina, tačiau nėra tikra, kad ji bus gauta, informacija apie neapibrėžtąjį turtą pateikiama aiškinamajame rašte. </w:t>
      </w:r>
    </w:p>
    <w:p w14:paraId="4AABF622" w14:textId="77777777" w:rsidR="007C5A5B" w:rsidRPr="005B3578" w:rsidRDefault="007C5A5B" w:rsidP="0A6D203E">
      <w:pPr>
        <w:pStyle w:val="Antrat3"/>
      </w:pPr>
      <w:bookmarkStart w:id="31" w:name="_Toc165137904"/>
      <w:bookmarkStart w:id="32" w:name="_Toc185240819"/>
      <w:bookmarkEnd w:id="31"/>
      <w:r w:rsidRPr="0A6D203E">
        <w:rPr>
          <w:rFonts w:ascii="Times New Roman" w:hAnsi="Times New Roman" w:cs="Times New Roman"/>
          <w:b/>
          <w:bCs/>
          <w:i/>
          <w:iCs/>
          <w:color w:val="auto"/>
          <w:sz w:val="24"/>
          <w:szCs w:val="24"/>
        </w:rPr>
        <w:t>Įvykiai pasibaigus ataskaitiniam laikotarpiui</w:t>
      </w:r>
      <w:bookmarkEnd w:id="32"/>
    </w:p>
    <w:p w14:paraId="384A0EF1" w14:textId="6C3F6F5A"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Įvykių, pasibaigus ataskaitiniam laikotarpiui, apskaitos ir pateikimo finansinėse ataskaitose taisyklės nustatytos 18-ajame VSAFAS „Atidėjiniai, neapibrėžtieji įsipareigojimai, neapibrėžtasis turtas ir </w:t>
      </w:r>
      <w:proofErr w:type="spellStart"/>
      <w:r w:rsidRPr="00F55D04">
        <w:rPr>
          <w:rFonts w:ascii="Times New Roman" w:hAnsi="Times New Roman" w:cs="Times New Roman"/>
          <w:sz w:val="24"/>
          <w:szCs w:val="24"/>
        </w:rPr>
        <w:t>poataskaitiniai</w:t>
      </w:r>
      <w:proofErr w:type="spellEnd"/>
      <w:r w:rsidRPr="00F55D04">
        <w:rPr>
          <w:rFonts w:ascii="Times New Roman" w:hAnsi="Times New Roman" w:cs="Times New Roman"/>
          <w:sz w:val="24"/>
          <w:szCs w:val="24"/>
        </w:rPr>
        <w:t xml:space="preserve"> įvykiai”. </w:t>
      </w:r>
    </w:p>
    <w:p w14:paraId="0C2C0680" w14:textId="589FCF99" w:rsidR="007C5A5B" w:rsidRPr="005B3578" w:rsidRDefault="007C5A5B" w:rsidP="008B15C6">
      <w:pPr>
        <w:spacing w:after="0"/>
        <w:ind w:firstLine="1296"/>
        <w:contextualSpacing/>
        <w:jc w:val="both"/>
      </w:pPr>
      <w:r w:rsidRPr="00F55D04">
        <w:rPr>
          <w:rFonts w:ascii="Times New Roman" w:hAnsi="Times New Roman" w:cs="Times New Roman"/>
          <w:sz w:val="24"/>
          <w:szCs w:val="24"/>
        </w:rPr>
        <w:t>Įvykiai, pasibaigus ataskaitiniam laikotarpiui, kurie suteikia papildomos informacijos apie TLK finansinę padėtį paskutinę ataskaitinio laikotarpio dieną (koreguojantys įvykiai), atsižvelgiant į jų įtakos reikšmę parengtoms finansinėms ataskaitoms, yra parodomi finansinės būklės, veiklos rezultatų, grynojo turto pokyčių ir pinigų srautų ataskaitose. Nekoreguojantys įvykiai, pasibaigus ataskaitiniam laikotarpiui, aprašomi aiškinamajame rašte, kai jie reikšmingi.</w:t>
      </w:r>
      <w:bookmarkStart w:id="33" w:name="_Toc185240820"/>
    </w:p>
    <w:p w14:paraId="759C2C18" w14:textId="77777777" w:rsidR="007E6EA2" w:rsidRDefault="007E6EA2" w:rsidP="007E6EA2">
      <w:pPr>
        <w:spacing w:after="0"/>
        <w:contextualSpacing/>
        <w:rPr>
          <w:rFonts w:ascii="Times New Roman" w:hAnsi="Times New Roman" w:cs="Times New Roman"/>
          <w:b/>
          <w:bCs/>
          <w:i/>
          <w:iCs/>
          <w:sz w:val="24"/>
          <w:szCs w:val="24"/>
        </w:rPr>
      </w:pPr>
    </w:p>
    <w:p w14:paraId="077ECBE7" w14:textId="72C11DAB" w:rsidR="007C5A5B" w:rsidRPr="005B3578" w:rsidRDefault="007C5A5B" w:rsidP="74C5A2D1">
      <w:r w:rsidRPr="74C5A2D1">
        <w:rPr>
          <w:rFonts w:ascii="Times New Roman" w:hAnsi="Times New Roman" w:cs="Times New Roman"/>
          <w:b/>
          <w:bCs/>
          <w:i/>
          <w:iCs/>
          <w:sz w:val="24"/>
          <w:szCs w:val="24"/>
        </w:rPr>
        <w:t>Tarpusavio užskaitos ir palyginamieji skaičiai</w:t>
      </w:r>
      <w:bookmarkEnd w:id="33"/>
    </w:p>
    <w:p w14:paraId="7531BF30" w14:textId="05EC13C0" w:rsidR="007C5A5B" w:rsidRPr="00F55D04" w:rsidRDefault="007C5A5B" w:rsidP="008B15C6">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 xml:space="preserve">Sudarant finansinių ataskaitų rinkinį, turto ir įsipareigojimų, taip pat pajamų ir sąnaudų tarpusavio užskaita negalima, išskyrus atvejus, kai konkretus VSAFAS reikalauja būtent tokios užskaitos. </w:t>
      </w:r>
    </w:p>
    <w:p w14:paraId="108088CE" w14:textId="4CBE6732" w:rsidR="007C5A5B" w:rsidRPr="00F55D04" w:rsidRDefault="007C5A5B" w:rsidP="008B15C6">
      <w:pPr>
        <w:spacing w:after="0"/>
        <w:ind w:firstLine="1296"/>
        <w:contextualSpacing/>
        <w:mirrorIndents/>
        <w:jc w:val="both"/>
        <w:rPr>
          <w:rFonts w:ascii="Times New Roman" w:hAnsi="Times New Roman" w:cs="Times New Roman"/>
          <w:sz w:val="24"/>
          <w:szCs w:val="24"/>
        </w:rPr>
      </w:pPr>
      <w:r w:rsidRPr="00F55D04">
        <w:rPr>
          <w:rFonts w:ascii="Times New Roman" w:hAnsi="Times New Roman" w:cs="Times New Roman"/>
          <w:sz w:val="24"/>
          <w:szCs w:val="24"/>
        </w:rPr>
        <w:t>Palyginamieji skaičiai yra koreguojami, kad atitiktų ataskaitinių metų finansinius rezultatus. Apskaitos principų ir apskaitinių įverčių pasikeitimai, sudarant ataskaitinio laikotarpio finansinių ataskaitų rinkinį, pateikiami aiškinamajame rašte.</w:t>
      </w:r>
    </w:p>
    <w:p w14:paraId="35292CA8" w14:textId="77777777" w:rsidR="007C5A5B" w:rsidRPr="005B3578" w:rsidRDefault="007C5A5B" w:rsidP="0A6D203E">
      <w:pPr>
        <w:pStyle w:val="Antrat3"/>
      </w:pPr>
      <w:r w:rsidRPr="0A6D203E">
        <w:rPr>
          <w:rFonts w:ascii="Times New Roman" w:hAnsi="Times New Roman" w:cs="Times New Roman"/>
          <w:b/>
          <w:bCs/>
          <w:i/>
          <w:iCs/>
          <w:color w:val="auto"/>
          <w:sz w:val="24"/>
          <w:szCs w:val="24"/>
        </w:rPr>
        <w:t>Informacijos pagal segmentus pateikimas</w:t>
      </w:r>
    </w:p>
    <w:p w14:paraId="7BF276C3" w14:textId="3F89B6B7" w:rsidR="007C5A5B" w:rsidRPr="00F55D04" w:rsidRDefault="007C5A5B" w:rsidP="008B15C6">
      <w:pPr>
        <w:ind w:firstLine="1296"/>
        <w:jc w:val="both"/>
        <w:rPr>
          <w:rFonts w:ascii="Times New Roman" w:hAnsi="Times New Roman" w:cs="Times New Roman"/>
          <w:sz w:val="24"/>
          <w:szCs w:val="24"/>
        </w:rPr>
      </w:pPr>
      <w:r w:rsidRPr="00F55D04">
        <w:rPr>
          <w:rFonts w:ascii="Times New Roman" w:hAnsi="Times New Roman" w:cs="Times New Roman"/>
          <w:sz w:val="24"/>
          <w:szCs w:val="24"/>
        </w:rPr>
        <w:t>Informacijos pagal segmentus pateikimo finansinėse ataskaitose reikalavimai nustatyti 25-ajame VSAFAS „Segmentai”.</w:t>
      </w:r>
    </w:p>
    <w:p w14:paraId="6DEBDB4E" w14:textId="77777777" w:rsidR="007C5A5B" w:rsidRPr="005B3578" w:rsidRDefault="007C5A5B" w:rsidP="0A6D203E">
      <w:pPr>
        <w:pStyle w:val="Antrat3"/>
      </w:pPr>
      <w:bookmarkStart w:id="34" w:name="_Toc165137907"/>
      <w:bookmarkStart w:id="35" w:name="_Toc165137599"/>
      <w:bookmarkStart w:id="36" w:name="_Toc165137600"/>
      <w:bookmarkStart w:id="37" w:name="_Toc165137601"/>
      <w:bookmarkStart w:id="38" w:name="_Toc165137602"/>
      <w:bookmarkStart w:id="39" w:name="_Toc165137605"/>
      <w:bookmarkStart w:id="40" w:name="_Toc165137607"/>
      <w:bookmarkStart w:id="41" w:name="_Toc165137611"/>
      <w:bookmarkStart w:id="42" w:name="_Toc165137613"/>
      <w:bookmarkStart w:id="43" w:name="_Toc165137614"/>
      <w:bookmarkStart w:id="44" w:name="_Toc165137615"/>
      <w:bookmarkStart w:id="45" w:name="_Apskaitos_politikos_keitimas"/>
      <w:bookmarkStart w:id="46" w:name="_Ref175974191"/>
      <w:bookmarkStart w:id="47" w:name="_Toc185240822"/>
      <w:bookmarkEnd w:id="34"/>
      <w:bookmarkEnd w:id="35"/>
      <w:bookmarkEnd w:id="36"/>
      <w:bookmarkEnd w:id="37"/>
      <w:bookmarkEnd w:id="38"/>
      <w:bookmarkEnd w:id="39"/>
      <w:bookmarkEnd w:id="40"/>
      <w:bookmarkEnd w:id="41"/>
      <w:bookmarkEnd w:id="42"/>
      <w:bookmarkEnd w:id="43"/>
      <w:bookmarkEnd w:id="44"/>
      <w:bookmarkEnd w:id="45"/>
      <w:r w:rsidRPr="0A6D203E">
        <w:rPr>
          <w:rFonts w:ascii="Times New Roman" w:hAnsi="Times New Roman" w:cs="Times New Roman"/>
          <w:b/>
          <w:bCs/>
          <w:i/>
          <w:iCs/>
          <w:color w:val="auto"/>
          <w:sz w:val="24"/>
          <w:szCs w:val="24"/>
        </w:rPr>
        <w:t>Apskaitos politikos keitimas</w:t>
      </w:r>
      <w:bookmarkEnd w:id="46"/>
      <w:bookmarkEnd w:id="47"/>
    </w:p>
    <w:p w14:paraId="705DC4BF" w14:textId="2133643F" w:rsidR="007C5A5B" w:rsidRPr="00F55D04" w:rsidRDefault="007C5A5B" w:rsidP="008B15C6">
      <w:pPr>
        <w:spacing w:after="0"/>
        <w:ind w:firstLine="1296"/>
        <w:contextualSpacing/>
        <w:jc w:val="both"/>
        <w:rPr>
          <w:rFonts w:ascii="Times New Roman" w:hAnsi="Times New Roman" w:cs="Times New Roman"/>
          <w:sz w:val="24"/>
          <w:szCs w:val="24"/>
        </w:rPr>
      </w:pPr>
      <w:bookmarkStart w:id="48" w:name="_Ref184793116"/>
      <w:bookmarkStart w:id="49" w:name="_Ref150008332"/>
      <w:r w:rsidRPr="00F55D04">
        <w:rPr>
          <w:rFonts w:ascii="Times New Roman" w:hAnsi="Times New Roman" w:cs="Times New Roman"/>
          <w:sz w:val="24"/>
          <w:szCs w:val="24"/>
        </w:rPr>
        <w:t>Apskaitos politikos keitimo principai nustatyti 7-ajame VSAFAS „Apskaitos politikos, apskaitinių įverčių keitimas ir klaidų taisymas</w:t>
      </w:r>
      <w:bookmarkEnd w:id="48"/>
      <w:r w:rsidRPr="00F55D04">
        <w:rPr>
          <w:rFonts w:ascii="Times New Roman" w:hAnsi="Times New Roman" w:cs="Times New Roman"/>
          <w:sz w:val="24"/>
          <w:szCs w:val="24"/>
        </w:rPr>
        <w:t>”.</w:t>
      </w:r>
    </w:p>
    <w:p w14:paraId="5851B804" w14:textId="4B998F97"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TLK pasirinktą apskaitos politiką taiko nuolat arba gana ilgą laiką tam, kad būtų galima palyginti įvairių ataskaitinių laikotarpių finansines ataskaitas. Tokio palyginimo reikia TLK finansinės būklės, veiklos rezultatų, grynojo turto ir pinigų srautų keitimosi tendencijoms nustatyti.</w:t>
      </w:r>
      <w:bookmarkEnd w:id="49"/>
    </w:p>
    <w:p w14:paraId="520D4932" w14:textId="5D26715D"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TLK pasirenka ir taiko apskaitos politiką remdamasi nuostatomis, pateiktomis 1-ajame VSAFAS „Informacijos pateikimas finansinių ataskaitų rinkinyje’. Ūkinių operacijų ir ūkinių įvykių pripažinimo, apskaitos ar dėl jų atsirandančio turto, įsipareigojimų, finansavimo sumų, pajamų ir (arba) sąnaudų vertinimo apskaitoje pakeitimas yra laikomas apskaitos politikos keitimu.</w:t>
      </w:r>
      <w:bookmarkStart w:id="50" w:name="_Ref184793131"/>
    </w:p>
    <w:p w14:paraId="62BDD18A" w14:textId="26D7F100"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lastRenderedPageBreak/>
        <w:t>Apskaitos politika keičiama pasikeitus VSAFAS arba jei to reikalauja kiti teisės aktai. Apskaitos politikos keitimas finansinėse ataskaitose parodomas taikant retrospektyvinį būdą, t. y. nauja apskaitos politika taikoma taip, lyg ji visada būtų buvusi naudojama, todėl pakeista apskaitos politika ūkinėms operacijoms ir ūkiniams įvykiams pritaikoma nuo jų atsiradimo. Poveikis, kurį apskaitos politikos keitimas daro einamojo ataskaitinio laikotarpio informacijai ir darytų ankstesnių ataskaitinių laikotarpių informacijai, registruojamas apskaitoje tą ataskaitinį laikotarpį, kurį apskaitos politika pakeičiama, ir rodomas einamojo ataskaitinio laikotarpio veiklos rezultatų ataskaitos eilutėje „Apskaitos politikos keitimo bei esminių klaidų taisymo įtaka” (sąskaitų plano 9 klasės sąskaitos). Šioje eilutėje yra rodoma apskaitos politikos keitimo poveikio dalis, susijusi su ankstesniais ataskaitiniais laikotarpiais. Lyginamoji ankstesnio ataskaitinio laikotarpio informacija finansinėse ataskaitose pateikiama tokia, kokia buvo, t. y. nekoreguojama.</w:t>
      </w:r>
      <w:bookmarkEnd w:id="50"/>
    </w:p>
    <w:p w14:paraId="53C26598" w14:textId="77777777" w:rsidR="007C5A5B" w:rsidRPr="005B3578" w:rsidRDefault="007C5A5B" w:rsidP="0A6D203E">
      <w:pPr>
        <w:pStyle w:val="Antrat3"/>
      </w:pPr>
      <w:bookmarkStart w:id="51" w:name="_Toc185240823"/>
      <w:r w:rsidRPr="0A6D203E">
        <w:rPr>
          <w:rFonts w:ascii="Times New Roman" w:hAnsi="Times New Roman" w:cs="Times New Roman"/>
          <w:b/>
          <w:bCs/>
          <w:i/>
          <w:iCs/>
          <w:color w:val="auto"/>
          <w:sz w:val="24"/>
          <w:szCs w:val="24"/>
        </w:rPr>
        <w:t>Apskaitinių įverčių keitimas</w:t>
      </w:r>
      <w:bookmarkEnd w:id="51"/>
    </w:p>
    <w:p w14:paraId="220C95B7" w14:textId="45455C46"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Apskaitinių įverčių keitimo principai ir taisyklės nustatyti 7-ajame VSAFAS „Apskaitos politikos, apskaitinių įverčių keitimas ir klaidų taisymas”.</w:t>
      </w:r>
    </w:p>
    <w:p w14:paraId="57D84440" w14:textId="10F1CA04"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Apskaitiniai įverčiai yra peržiūrimi tuo atveju, jei pasikeičia aplinkybės, kuriomis buvo remtasi atliekant įvertinimą, arba atsiranda papildomos informacijos ar kitų įvykių.</w:t>
      </w:r>
    </w:p>
    <w:p w14:paraId="1EBF42FD" w14:textId="26DFB41A"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Apskaitinio įverčio pasikeitimo poveikis nustatant grynąjį perviršį ar deficitą priskiriamas:</w:t>
      </w:r>
    </w:p>
    <w:p w14:paraId="2A79A16E" w14:textId="77777777" w:rsidR="007C5A5B" w:rsidRPr="00F55D04" w:rsidRDefault="007C5A5B" w:rsidP="007E6EA2">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laikotarpiui, kada įvyko pasikeitimas, jei jis turi įtakos tik tam laikotarpiui;</w:t>
      </w:r>
    </w:p>
    <w:p w14:paraId="1732B14F" w14:textId="77777777" w:rsidR="007C5A5B" w:rsidRPr="00F55D04" w:rsidRDefault="007C5A5B" w:rsidP="007E6EA2">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laikotarpiui, kada įvyko pasikeitimas, ir vėlesniems laikotarpiams, jei pasikeitimas turi įtakos ir jiems.</w:t>
      </w:r>
    </w:p>
    <w:p w14:paraId="0EC8EDF5" w14:textId="6F0D0935"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4D5D83B4" w14:textId="62272632"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Apskaitos politika laikomas pasirinktas apskaitos metodas, o apskaitiniu įverčiu laikomas TLK pasirinktas tam tikras dydis.</w:t>
      </w:r>
    </w:p>
    <w:p w14:paraId="73A50FE8" w14:textId="77777777" w:rsidR="007E6EA2" w:rsidRDefault="007E6EA2" w:rsidP="007E6EA2">
      <w:pPr>
        <w:spacing w:after="0"/>
        <w:contextualSpacing/>
        <w:rPr>
          <w:rFonts w:ascii="Times New Roman" w:hAnsi="Times New Roman" w:cs="Times New Roman"/>
          <w:b/>
          <w:bCs/>
          <w:sz w:val="24"/>
          <w:szCs w:val="24"/>
        </w:rPr>
      </w:pPr>
    </w:p>
    <w:p w14:paraId="13FED59D" w14:textId="5563E069" w:rsidR="007C5A5B" w:rsidRPr="005B3578" w:rsidRDefault="007C5A5B" w:rsidP="0A6D203E">
      <w:r w:rsidRPr="0A6D203E">
        <w:rPr>
          <w:rFonts w:ascii="Times New Roman" w:hAnsi="Times New Roman" w:cs="Times New Roman"/>
          <w:b/>
          <w:bCs/>
          <w:i/>
          <w:iCs/>
          <w:sz w:val="24"/>
          <w:szCs w:val="24"/>
        </w:rPr>
        <w:t>Apskaitos klaidų taisymas</w:t>
      </w:r>
    </w:p>
    <w:p w14:paraId="78EE0FB8" w14:textId="12F13464" w:rsidR="007C5A5B" w:rsidRPr="00F55D04" w:rsidRDefault="007C5A5B" w:rsidP="008B15C6">
      <w:pPr>
        <w:spacing w:after="0"/>
        <w:ind w:firstLine="1296"/>
        <w:contextualSpacing/>
        <w:jc w:val="both"/>
        <w:rPr>
          <w:rFonts w:ascii="Times New Roman" w:hAnsi="Times New Roman" w:cs="Times New Roman"/>
          <w:sz w:val="24"/>
          <w:szCs w:val="24"/>
        </w:rPr>
      </w:pPr>
      <w:r w:rsidRPr="00F55D04">
        <w:rPr>
          <w:rFonts w:ascii="Times New Roman" w:hAnsi="Times New Roman" w:cs="Times New Roman"/>
          <w:sz w:val="24"/>
          <w:szCs w:val="24"/>
        </w:rPr>
        <w:t>Apskaitos klaidų taisymo taisyklės nustatytos 7-ajame VSAFAS „Apskaitos politikos, apskaitinių įverčių keitimas ir klaidų taisymas”.</w:t>
      </w:r>
    </w:p>
    <w:p w14:paraId="5FDDF243" w14:textId="4A73AD34" w:rsidR="007C5A5B" w:rsidRPr="00F211CB" w:rsidRDefault="007C5A5B" w:rsidP="008B15C6">
      <w:pPr>
        <w:pStyle w:val="Pagrindinistekstas2"/>
        <w:ind w:firstLine="1296"/>
        <w:contextualSpacing/>
        <w:rPr>
          <w:lang w:val="lt-LT"/>
        </w:rPr>
      </w:pPr>
      <w:r w:rsidRPr="00F211CB">
        <w:rPr>
          <w:lang w:val="lt-LT"/>
        </w:rPr>
        <w:t>Ataskaitiniu laikotarpiu gali būti pastebėtos apskaitos klaidos, padarytos praėjusių ataskaitinių laikotarpių finansinėse ataskaitose. Apskaitos klaida laikoma esmine, jei jos vienos vertinė išraiška arba kartu su kitų to ataskaitinio laikotarpio klaidų vertinėmis išraiškomis yra didesnė TLK nusistatytą reikšmingumo lygį.</w:t>
      </w:r>
    </w:p>
    <w:p w14:paraId="60A3EE3F" w14:textId="77777777" w:rsidR="007C5A5B" w:rsidRPr="00F55D04" w:rsidRDefault="007C5A5B" w:rsidP="007E6EA2">
      <w:pPr>
        <w:spacing w:after="0"/>
        <w:contextualSpacing/>
        <w:jc w:val="both"/>
        <w:rPr>
          <w:rFonts w:ascii="Times New Roman" w:hAnsi="Times New Roman" w:cs="Times New Roman"/>
          <w:sz w:val="24"/>
          <w:szCs w:val="24"/>
        </w:rPr>
      </w:pPr>
      <w:bookmarkStart w:id="52" w:name="_Ref190839449"/>
      <w:r w:rsidRPr="00F55D04">
        <w:rPr>
          <w:rFonts w:ascii="Times New Roman" w:hAnsi="Times New Roman" w:cs="Times New Roman"/>
          <w:sz w:val="24"/>
          <w:szCs w:val="24"/>
        </w:rPr>
        <w:t>Ir esminės, ir neesminės apskaitos klaidos taisomos einamojo ataskaitinio laikotarpio finansinėse ataskaitose. Apskaitos klaidų taisymo įtaka finansinėse ataskaitose parodoma taip:</w:t>
      </w:r>
      <w:bookmarkEnd w:id="52"/>
    </w:p>
    <w:p w14:paraId="0BF7D509" w14:textId="77777777" w:rsidR="007C5A5B" w:rsidRPr="00F55D04" w:rsidRDefault="007C5A5B" w:rsidP="007E6EA2">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jei apskaitos klaida nėra esminė, jos taisymas registruojamas toje pačioje sąskaitoje, kurioje buvo užregistruota klaidinga informacija, ir parodomas toje pačioje veiklos rezultatų ataskaitos eilutėje, kurioje buvo pateikta klaidinga informacija;</w:t>
      </w:r>
    </w:p>
    <w:p w14:paraId="3DB46E32" w14:textId="77777777" w:rsidR="007C5A5B" w:rsidRPr="00F55D04" w:rsidRDefault="007C5A5B" w:rsidP="007E6EA2">
      <w:pPr>
        <w:spacing w:after="0"/>
        <w:contextualSpacing/>
        <w:jc w:val="both"/>
        <w:rPr>
          <w:rFonts w:ascii="Times New Roman" w:hAnsi="Times New Roman" w:cs="Times New Roman"/>
          <w:sz w:val="24"/>
          <w:szCs w:val="24"/>
        </w:rPr>
      </w:pPr>
      <w:r w:rsidRPr="00F55D04">
        <w:rPr>
          <w:rFonts w:ascii="Times New Roman" w:hAnsi="Times New Roman" w:cs="Times New Roman"/>
          <w:sz w:val="24"/>
          <w:szCs w:val="24"/>
        </w:rPr>
        <w:t>jei apskaitos klaida esminė, jos taisymas registruojamas tam skirtoje sąskaitoje (9 sąskaitų plano klasėje) ir parodomas veiklos rezultatų ataskaitos eilutėje „Apskaitos politikos keitimo bei esminių apskaitos klaidų taisymo įtaka”. Lyginamoji ankstesniojo ataskaitinio laikotarpio finansinė informacija pateikiama tokia, kokia buvo, t. y. nekoreguojama. Su esminės klaidos taisymu susijusi informacija pateikiama aiškinamajame rašte.</w:t>
      </w:r>
    </w:p>
    <w:p w14:paraId="47356458" w14:textId="52C88BAA" w:rsidR="007C5A5B" w:rsidRPr="00F55D04" w:rsidRDefault="007C5A5B" w:rsidP="004F7CA9">
      <w:pPr>
        <w:jc w:val="both"/>
        <w:rPr>
          <w:rFonts w:ascii="Times New Roman" w:hAnsi="Times New Roman" w:cs="Times New Roman"/>
          <w:sz w:val="24"/>
          <w:szCs w:val="24"/>
        </w:rPr>
      </w:pPr>
    </w:p>
    <w:p w14:paraId="37300311" w14:textId="77777777" w:rsidR="00F211CB" w:rsidRPr="005E06AC" w:rsidRDefault="00F211CB" w:rsidP="004F7CA9">
      <w:pPr>
        <w:jc w:val="both"/>
        <w:rPr>
          <w:rFonts w:ascii="Times New Roman" w:hAnsi="Times New Roman" w:cs="Times New Roman"/>
          <w:sz w:val="24"/>
          <w:szCs w:val="24"/>
        </w:rPr>
      </w:pPr>
    </w:p>
    <w:p w14:paraId="665750B1" w14:textId="77777777" w:rsidR="007C5A5B" w:rsidRDefault="007C5A5B" w:rsidP="007C5A5B">
      <w:pPr>
        <w:jc w:val="center"/>
        <w:rPr>
          <w:rFonts w:ascii="Times New Roman" w:hAnsi="Times New Roman" w:cs="Times New Roman"/>
          <w:sz w:val="24"/>
          <w:szCs w:val="24"/>
        </w:rPr>
      </w:pPr>
      <w:r w:rsidRPr="007E6EA2">
        <w:rPr>
          <w:rFonts w:ascii="Times New Roman" w:hAnsi="Times New Roman" w:cs="Times New Roman"/>
          <w:sz w:val="24"/>
          <w:szCs w:val="24"/>
        </w:rPr>
        <w:lastRenderedPageBreak/>
        <w:t>III. AIŠKINAMOJO RAŠTO PASTABOS</w:t>
      </w:r>
    </w:p>
    <w:p w14:paraId="55D2F41E" w14:textId="77777777" w:rsidR="007C5A5B" w:rsidRPr="00F55D04" w:rsidRDefault="007C5A5B" w:rsidP="007C5A5B">
      <w:pPr>
        <w:pStyle w:val="Pagrindinistekstas3"/>
      </w:pPr>
      <w:r w:rsidRPr="00F55D04">
        <w:t>Investicijos į ne nuosavybės vertybinius popierius, po vienų metų gautinos sumos, kitas finansinis turtas ir išankstiniai apmokėjimai, trumpalaikės investicijos</w:t>
      </w:r>
    </w:p>
    <w:p w14:paraId="18EC1504" w14:textId="77777777" w:rsidR="007C5A5B" w:rsidRPr="00F55D04" w:rsidRDefault="007C5A5B" w:rsidP="007E6EA2">
      <w:pPr>
        <w:spacing w:after="0"/>
        <w:contextualSpacing/>
        <w:jc w:val="both"/>
        <w:rPr>
          <w:rFonts w:ascii="Times New Roman" w:hAnsi="Times New Roman" w:cs="Times New Roman"/>
          <w:b/>
          <w:sz w:val="24"/>
          <w:szCs w:val="24"/>
        </w:rPr>
      </w:pPr>
    </w:p>
    <w:p w14:paraId="33EF066E" w14:textId="77777777"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Įstaiga neturi išvestinių finansinių priemonių. </w:t>
      </w:r>
    </w:p>
    <w:p w14:paraId="73D68AD7" w14:textId="77777777"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Įstaiga neturi iki išpirkimo termino laikomo finansinio turto.</w:t>
      </w:r>
    </w:p>
    <w:p w14:paraId="089954FE" w14:textId="77777777"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Įstaiga neturi finansinio turto, išreikšto užsienio valiutomis. </w:t>
      </w:r>
    </w:p>
    <w:p w14:paraId="7D5E438D" w14:textId="77777777"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Įstaiga neturi gautinų sumų, kurioms per ataskaitinį laikotarpį buvo pripažintas nuvertėjimas.</w:t>
      </w:r>
    </w:p>
    <w:p w14:paraId="245269AB" w14:textId="77777777"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Įstaiga neturi ilgalaikių terminuotų indėlių;</w:t>
      </w:r>
    </w:p>
    <w:p w14:paraId="08AC78E6" w14:textId="0CDBDE64"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Pinigų ir pinigų ekvivalentų informacija pateikiama pagal 17-o standarto 8 priede nurodytą formą, </w:t>
      </w:r>
      <w:r w:rsidRPr="00D006BD">
        <w:rPr>
          <w:rFonts w:ascii="Times New Roman" w:hAnsi="Times New Roman" w:cs="Times New Roman"/>
          <w:b/>
          <w:bCs/>
          <w:i/>
          <w:iCs/>
          <w:sz w:val="24"/>
          <w:szCs w:val="24"/>
        </w:rPr>
        <w:t>priedas Nr.</w:t>
      </w:r>
      <w:r w:rsidR="001F54CA" w:rsidRPr="00D006BD">
        <w:rPr>
          <w:rFonts w:ascii="Times New Roman" w:hAnsi="Times New Roman" w:cs="Times New Roman"/>
          <w:b/>
          <w:bCs/>
          <w:i/>
          <w:iCs/>
          <w:sz w:val="24"/>
          <w:szCs w:val="24"/>
        </w:rPr>
        <w:t>3</w:t>
      </w:r>
      <w:r w:rsidRPr="00D006BD">
        <w:rPr>
          <w:rFonts w:ascii="Times New Roman" w:hAnsi="Times New Roman" w:cs="Times New Roman"/>
          <w:b/>
          <w:bCs/>
          <w:i/>
          <w:iCs/>
          <w:sz w:val="24"/>
          <w:szCs w:val="24"/>
        </w:rPr>
        <w:t>.</w:t>
      </w:r>
    </w:p>
    <w:p w14:paraId="5BA6D6BC" w14:textId="205C333F"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Įstaiga pateikia informaciją apie kai kurias trumpalaikes mokėtinas sumas naudodama formą, pateiktą 17-o standarto 12 priede, </w:t>
      </w:r>
      <w:r w:rsidRPr="5C0C6B9B">
        <w:rPr>
          <w:rFonts w:ascii="Times New Roman" w:hAnsi="Times New Roman" w:cs="Times New Roman"/>
          <w:b/>
          <w:bCs/>
          <w:i/>
          <w:iCs/>
          <w:sz w:val="24"/>
          <w:szCs w:val="24"/>
        </w:rPr>
        <w:t xml:space="preserve">priedas Nr. </w:t>
      </w:r>
      <w:r w:rsidR="001F54CA" w:rsidRPr="5C0C6B9B">
        <w:rPr>
          <w:rFonts w:ascii="Times New Roman" w:hAnsi="Times New Roman" w:cs="Times New Roman"/>
          <w:b/>
          <w:bCs/>
          <w:i/>
          <w:iCs/>
          <w:sz w:val="24"/>
          <w:szCs w:val="24"/>
        </w:rPr>
        <w:t>8</w:t>
      </w:r>
      <w:r w:rsidRPr="00F55D04">
        <w:rPr>
          <w:rFonts w:ascii="Times New Roman" w:hAnsi="Times New Roman" w:cs="Times New Roman"/>
          <w:sz w:val="24"/>
          <w:szCs w:val="24"/>
        </w:rPr>
        <w:t xml:space="preserve">. </w:t>
      </w:r>
    </w:p>
    <w:p w14:paraId="2A88D991" w14:textId="476E2812" w:rsidR="007C5A5B" w:rsidRPr="00F55D04" w:rsidRDefault="007C5A5B" w:rsidP="007E6EA2">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Įstaiga pateikia informaciją apie įsipareigojimų dalį eurais ir užsienio valiutomis naudodama formą, pateiktą 17-o standarto 13 priede, </w:t>
      </w:r>
      <w:r w:rsidRPr="00D006BD">
        <w:rPr>
          <w:rFonts w:ascii="Times New Roman" w:hAnsi="Times New Roman" w:cs="Times New Roman"/>
          <w:b/>
          <w:bCs/>
          <w:i/>
          <w:iCs/>
          <w:sz w:val="24"/>
          <w:szCs w:val="24"/>
        </w:rPr>
        <w:t xml:space="preserve">priedas Nr. </w:t>
      </w:r>
      <w:r w:rsidR="001F54CA" w:rsidRPr="00D006BD">
        <w:rPr>
          <w:rFonts w:ascii="Times New Roman" w:hAnsi="Times New Roman" w:cs="Times New Roman"/>
          <w:b/>
          <w:bCs/>
          <w:i/>
          <w:iCs/>
          <w:sz w:val="24"/>
          <w:szCs w:val="24"/>
        </w:rPr>
        <w:t>9</w:t>
      </w:r>
      <w:r w:rsidRPr="00F55D04">
        <w:rPr>
          <w:rFonts w:ascii="Times New Roman" w:hAnsi="Times New Roman" w:cs="Times New Roman"/>
          <w:sz w:val="24"/>
          <w:szCs w:val="24"/>
        </w:rPr>
        <w:t xml:space="preserve">. </w:t>
      </w:r>
    </w:p>
    <w:p w14:paraId="5F0F5F66" w14:textId="77777777" w:rsidR="007C5A5B" w:rsidRPr="00F55D04" w:rsidRDefault="007C5A5B" w:rsidP="007E6EA2">
      <w:pPr>
        <w:spacing w:after="0"/>
        <w:contextualSpacing/>
        <w:jc w:val="both"/>
        <w:rPr>
          <w:rFonts w:ascii="Times New Roman" w:hAnsi="Times New Roman" w:cs="Times New Roman"/>
          <w:sz w:val="24"/>
          <w:szCs w:val="24"/>
        </w:rPr>
      </w:pPr>
    </w:p>
    <w:p w14:paraId="6BCBB015" w14:textId="77777777" w:rsidR="007C5A5B" w:rsidRPr="00C9260B" w:rsidRDefault="007C5A5B" w:rsidP="0073359E">
      <w:pPr>
        <w:jc w:val="center"/>
        <w:rPr>
          <w:rFonts w:ascii="Times New Roman" w:hAnsi="Times New Roman" w:cs="Times New Roman"/>
          <w:b/>
          <w:sz w:val="24"/>
          <w:szCs w:val="24"/>
        </w:rPr>
      </w:pPr>
      <w:r w:rsidRPr="00D006BD">
        <w:rPr>
          <w:rFonts w:ascii="Times New Roman" w:hAnsi="Times New Roman" w:cs="Times New Roman"/>
          <w:b/>
          <w:bCs/>
          <w:sz w:val="24"/>
          <w:szCs w:val="24"/>
        </w:rPr>
        <w:t>Gautinos sumos</w:t>
      </w:r>
    </w:p>
    <w:p w14:paraId="26771FF5" w14:textId="39B097A4" w:rsidR="007C5A5B" w:rsidRPr="00F55D04" w:rsidRDefault="007C5A5B" w:rsidP="008B15C6">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Gautinos sumos pirminio pripažinimo metu yra įvertinamos įsigijimo savikaina.</w:t>
      </w:r>
    </w:p>
    <w:p w14:paraId="4311BC64" w14:textId="6484547B" w:rsidR="007C5A5B" w:rsidRPr="00F55D04" w:rsidRDefault="007C5A5B" w:rsidP="001F54CA">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Informacija apie per vienerius metus gautinas sumas pateikta pagal 17-o standarto 7 priede nurodytą formą, </w:t>
      </w:r>
      <w:r w:rsidRPr="6A5634B2">
        <w:rPr>
          <w:rFonts w:ascii="Times New Roman" w:hAnsi="Times New Roman" w:cs="Times New Roman"/>
          <w:b/>
          <w:bCs/>
          <w:i/>
          <w:iCs/>
          <w:sz w:val="24"/>
          <w:szCs w:val="24"/>
        </w:rPr>
        <w:t xml:space="preserve">priedas Nr. </w:t>
      </w:r>
      <w:r w:rsidR="00D170B9" w:rsidRPr="6A5634B2">
        <w:rPr>
          <w:rFonts w:ascii="Times New Roman" w:hAnsi="Times New Roman" w:cs="Times New Roman"/>
          <w:b/>
          <w:bCs/>
          <w:i/>
          <w:iCs/>
          <w:sz w:val="24"/>
          <w:szCs w:val="24"/>
        </w:rPr>
        <w:t>7</w:t>
      </w:r>
      <w:r w:rsidRPr="00F55D04">
        <w:rPr>
          <w:rFonts w:ascii="Times New Roman" w:hAnsi="Times New Roman" w:cs="Times New Roman"/>
          <w:sz w:val="24"/>
          <w:szCs w:val="24"/>
        </w:rPr>
        <w:t>.</w:t>
      </w:r>
    </w:p>
    <w:p w14:paraId="1C72C8DD" w14:textId="0C97F5A1" w:rsidR="007C5A5B" w:rsidRPr="00C9260B" w:rsidRDefault="007C5A5B" w:rsidP="00CF70F5">
      <w:pPr>
        <w:pStyle w:val="Antrat3"/>
        <w:jc w:val="center"/>
        <w:rPr>
          <w:rFonts w:ascii="Times New Roman" w:hAnsi="Times New Roman" w:cs="Times New Roman"/>
          <w:b/>
          <w:color w:val="auto"/>
          <w:sz w:val="24"/>
          <w:szCs w:val="24"/>
        </w:rPr>
      </w:pPr>
      <w:r w:rsidRPr="00D006BD">
        <w:rPr>
          <w:rFonts w:ascii="Times New Roman" w:hAnsi="Times New Roman" w:cs="Times New Roman"/>
          <w:b/>
          <w:bCs/>
          <w:color w:val="auto"/>
          <w:sz w:val="24"/>
          <w:szCs w:val="24"/>
        </w:rPr>
        <w:t>Finansavimo sumos</w:t>
      </w:r>
    </w:p>
    <w:p w14:paraId="6A27DC3B" w14:textId="67CFED57" w:rsidR="007C5A5B" w:rsidRPr="00C9260B" w:rsidRDefault="007C5A5B">
      <w:pPr>
        <w:ind w:firstLine="720"/>
        <w:jc w:val="both"/>
        <w:rPr>
          <w:rFonts w:ascii="Times New Roman" w:hAnsi="Times New Roman" w:cs="Times New Roman"/>
          <w:b/>
          <w:sz w:val="24"/>
          <w:szCs w:val="24"/>
        </w:rPr>
      </w:pPr>
      <w:r w:rsidRPr="00F55D04">
        <w:rPr>
          <w:rFonts w:ascii="Times New Roman" w:hAnsi="Times New Roman" w:cs="Times New Roman"/>
          <w:sz w:val="24"/>
          <w:szCs w:val="24"/>
        </w:rPr>
        <w:t xml:space="preserve">Pateikiama informacija apie finansavimo sumas: pagal šaltinį, tikslinę paskirtį ir jų pokyčius per ataskaitinį laikotarpį pagal 20-o standarto 4 ir 5 prieduose pateiktas formas, </w:t>
      </w:r>
      <w:r w:rsidRPr="00D006BD">
        <w:rPr>
          <w:rFonts w:ascii="Times New Roman" w:hAnsi="Times New Roman" w:cs="Times New Roman"/>
          <w:b/>
          <w:bCs/>
          <w:i/>
          <w:iCs/>
          <w:sz w:val="24"/>
          <w:szCs w:val="24"/>
        </w:rPr>
        <w:t>priedai Nr.</w:t>
      </w:r>
      <w:r w:rsidR="001F54CA" w:rsidRPr="00D006BD">
        <w:rPr>
          <w:rFonts w:ascii="Times New Roman" w:hAnsi="Times New Roman" w:cs="Times New Roman"/>
          <w:b/>
          <w:bCs/>
          <w:i/>
          <w:iCs/>
          <w:sz w:val="24"/>
          <w:szCs w:val="24"/>
        </w:rPr>
        <w:t>4</w:t>
      </w:r>
      <w:r w:rsidRPr="00D006BD">
        <w:rPr>
          <w:rFonts w:ascii="Times New Roman" w:hAnsi="Times New Roman" w:cs="Times New Roman"/>
          <w:b/>
          <w:bCs/>
          <w:i/>
          <w:iCs/>
          <w:sz w:val="24"/>
          <w:szCs w:val="24"/>
        </w:rPr>
        <w:t xml:space="preserve"> ir Nr.</w:t>
      </w:r>
      <w:r w:rsidR="001F54CA" w:rsidRPr="00D006BD">
        <w:rPr>
          <w:rFonts w:ascii="Times New Roman" w:hAnsi="Times New Roman" w:cs="Times New Roman"/>
          <w:b/>
          <w:bCs/>
          <w:i/>
          <w:iCs/>
          <w:sz w:val="24"/>
          <w:szCs w:val="24"/>
        </w:rPr>
        <w:t>5</w:t>
      </w:r>
      <w:r w:rsidRPr="00D006BD">
        <w:rPr>
          <w:rFonts w:ascii="Times New Roman" w:hAnsi="Times New Roman" w:cs="Times New Roman"/>
          <w:b/>
          <w:bCs/>
          <w:i/>
          <w:iCs/>
          <w:sz w:val="24"/>
          <w:szCs w:val="24"/>
        </w:rPr>
        <w:t>.</w:t>
      </w:r>
      <w:r w:rsidR="6177AD8F" w:rsidRPr="005E06AC">
        <w:rPr>
          <w:rFonts w:ascii="Times New Roman" w:hAnsi="Times New Roman" w:cs="Times New Roman"/>
          <w:b/>
          <w:bCs/>
          <w:i/>
          <w:iCs/>
          <w:sz w:val="24"/>
          <w:szCs w:val="24"/>
        </w:rPr>
        <w:t xml:space="preserve"> </w:t>
      </w:r>
      <w:r w:rsidR="08A1526B" w:rsidRPr="005E06AC">
        <w:rPr>
          <w:rFonts w:ascii="Times New Roman" w:hAnsi="Times New Roman" w:cs="Times New Roman"/>
          <w:b/>
          <w:bCs/>
          <w:i/>
          <w:iCs/>
          <w:sz w:val="24"/>
          <w:szCs w:val="24"/>
        </w:rPr>
        <w:t xml:space="preserve"> </w:t>
      </w:r>
      <w:r w:rsidR="6177AD8F" w:rsidRPr="00C9260B">
        <w:rPr>
          <w:rFonts w:ascii="Times New Roman" w:eastAsia="Times New Roman" w:hAnsi="Times New Roman" w:cs="Times New Roman"/>
          <w:sz w:val="24"/>
          <w:szCs w:val="24"/>
        </w:rPr>
        <w:t xml:space="preserve">20-ojo VSAFAS 4 priede nurodyta iš valstybės biudžeto gauta ir panaudota finansavimo suma – </w:t>
      </w:r>
      <w:r w:rsidR="1048B659" w:rsidRPr="00C9260B">
        <w:rPr>
          <w:rFonts w:ascii="Times New Roman" w:eastAsia="Times New Roman" w:hAnsi="Times New Roman" w:cs="Times New Roman"/>
          <w:sz w:val="24"/>
          <w:szCs w:val="24"/>
        </w:rPr>
        <w:t>663402,</w:t>
      </w:r>
      <w:r w:rsidR="13D5281B" w:rsidRPr="00C9260B">
        <w:rPr>
          <w:rFonts w:ascii="Times New Roman" w:eastAsia="Times New Roman" w:hAnsi="Times New Roman" w:cs="Times New Roman"/>
          <w:sz w:val="24"/>
          <w:szCs w:val="24"/>
        </w:rPr>
        <w:t>73</w:t>
      </w:r>
      <w:r w:rsidR="6177AD8F" w:rsidRPr="00C9260B">
        <w:rPr>
          <w:rFonts w:ascii="Times New Roman" w:eastAsia="Times New Roman" w:hAnsi="Times New Roman" w:cs="Times New Roman"/>
          <w:sz w:val="24"/>
          <w:szCs w:val="24"/>
        </w:rPr>
        <w:t xml:space="preserve"> Eur. Šios lėšos skirtos Valstybės deleguotoms funkcijoms finansuoti Lietuvos Respublikos valstybės biudžeto asignavimais (Lietuvos Respublikos sveikatos draudimo įstatymo 6 straipsnio 5 dalyje ir 8 straipsnio 5 dalyje nurodytų asmenų sveikatos priežiūrai).</w:t>
      </w:r>
    </w:p>
    <w:p w14:paraId="344135C6" w14:textId="07FFAD48" w:rsidR="007C5A5B" w:rsidRPr="005B3578" w:rsidRDefault="007C5A5B" w:rsidP="005B3578">
      <w:pPr>
        <w:pStyle w:val="Antrat3"/>
        <w:ind w:left="3888"/>
      </w:pPr>
      <w:r w:rsidRPr="005E06AC">
        <w:rPr>
          <w:rFonts w:ascii="Times New Roman" w:hAnsi="Times New Roman" w:cs="Times New Roman"/>
          <w:b/>
          <w:color w:val="auto"/>
          <w:sz w:val="24"/>
          <w:szCs w:val="24"/>
        </w:rPr>
        <w:t>Segmentai</w:t>
      </w:r>
    </w:p>
    <w:p w14:paraId="7DDC9A30" w14:textId="545ADB08" w:rsidR="007C5A5B" w:rsidRPr="00F55D04" w:rsidRDefault="007C5A5B" w:rsidP="00524C6B">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 xml:space="preserve">Pateikiamos šio ataskaitinio ir praėjusio ataskaitinio laikotarpių ataskaitos pagal 25-o VSAFAS priede nustatytą formą, </w:t>
      </w:r>
      <w:r w:rsidRPr="00D006BD">
        <w:rPr>
          <w:rFonts w:ascii="Times New Roman" w:hAnsi="Times New Roman" w:cs="Times New Roman"/>
          <w:b/>
          <w:bCs/>
          <w:i/>
          <w:iCs/>
          <w:sz w:val="24"/>
          <w:szCs w:val="24"/>
        </w:rPr>
        <w:t xml:space="preserve">priedas Nr. </w:t>
      </w:r>
      <w:r w:rsidR="00524C6B" w:rsidRPr="00D006BD">
        <w:rPr>
          <w:rFonts w:ascii="Times New Roman" w:hAnsi="Times New Roman" w:cs="Times New Roman"/>
          <w:b/>
          <w:bCs/>
          <w:i/>
          <w:iCs/>
          <w:sz w:val="24"/>
          <w:szCs w:val="24"/>
        </w:rPr>
        <w:t>6</w:t>
      </w:r>
      <w:r w:rsidRPr="00D006BD">
        <w:rPr>
          <w:rFonts w:ascii="Times New Roman" w:hAnsi="Times New Roman" w:cs="Times New Roman"/>
          <w:b/>
          <w:bCs/>
          <w:i/>
          <w:iCs/>
          <w:sz w:val="24"/>
          <w:szCs w:val="24"/>
        </w:rPr>
        <w:t>.</w:t>
      </w:r>
      <w:r w:rsidRPr="00F55D04">
        <w:rPr>
          <w:rFonts w:ascii="Times New Roman" w:hAnsi="Times New Roman" w:cs="Times New Roman"/>
          <w:sz w:val="24"/>
          <w:szCs w:val="24"/>
        </w:rPr>
        <w:t xml:space="preserve"> </w:t>
      </w:r>
    </w:p>
    <w:p w14:paraId="13140C44" w14:textId="77777777" w:rsidR="007C5A5B" w:rsidRDefault="007C5A5B" w:rsidP="00524C6B">
      <w:pPr>
        <w:spacing w:after="0"/>
        <w:ind w:firstLine="720"/>
        <w:contextualSpacing/>
        <w:jc w:val="both"/>
        <w:rPr>
          <w:rFonts w:ascii="Times New Roman" w:hAnsi="Times New Roman" w:cs="Times New Roman"/>
          <w:sz w:val="24"/>
          <w:szCs w:val="24"/>
        </w:rPr>
      </w:pPr>
      <w:r w:rsidRPr="00F55D04">
        <w:rPr>
          <w:rFonts w:ascii="Times New Roman" w:hAnsi="Times New Roman" w:cs="Times New Roman"/>
          <w:sz w:val="24"/>
          <w:szCs w:val="24"/>
        </w:rPr>
        <w:t>Klaipėdos TLK pagal savo veiklos pobūdį, teikiamas paslaugas pagal valstybės funkciją priskiriama sveikatos apsaugos segmentui ir apskaitą tvarko taip, kad galėtų pagal šį segmentą užregistruoti pagrindinės veiklos sąnaudas ir pagrindinės veiklos pinigų srautus.</w:t>
      </w:r>
    </w:p>
    <w:p w14:paraId="66C81A54" w14:textId="77777777" w:rsidR="00113979" w:rsidRPr="00F55D04" w:rsidRDefault="00113979" w:rsidP="00524C6B">
      <w:pPr>
        <w:spacing w:after="0"/>
        <w:ind w:firstLine="720"/>
        <w:contextualSpacing/>
        <w:jc w:val="both"/>
        <w:rPr>
          <w:rFonts w:ascii="Times New Roman" w:hAnsi="Times New Roman" w:cs="Times New Roman"/>
          <w:sz w:val="24"/>
          <w:szCs w:val="24"/>
        </w:rPr>
      </w:pPr>
    </w:p>
    <w:p w14:paraId="032744AE" w14:textId="0AD0AECA" w:rsidR="007C5A5B" w:rsidRPr="005B3578" w:rsidRDefault="007C5A5B" w:rsidP="00CF70F5">
      <w:pPr>
        <w:pStyle w:val="Antrat3"/>
        <w:ind w:left="2592"/>
        <w:contextualSpacing/>
      </w:pPr>
      <w:r w:rsidRPr="00D006BD">
        <w:rPr>
          <w:rFonts w:ascii="Times New Roman" w:hAnsi="Times New Roman" w:cs="Times New Roman"/>
          <w:b/>
          <w:bCs/>
          <w:color w:val="auto"/>
          <w:sz w:val="24"/>
          <w:szCs w:val="24"/>
        </w:rPr>
        <w:t>Finansinės būklės ataskaita</w:t>
      </w:r>
    </w:p>
    <w:p w14:paraId="6ADAB86E" w14:textId="66FFFE03" w:rsidR="007C5A5B" w:rsidRPr="008303F9" w:rsidRDefault="007C5A5B" w:rsidP="00113979">
      <w:pPr>
        <w:pStyle w:val="Antrat1"/>
        <w:spacing w:before="0" w:after="0"/>
        <w:contextualSpacing/>
        <w:rPr>
          <w:rFonts w:ascii="Times New Roman" w:hAnsi="Times New Roman" w:cs="Times New Roman"/>
          <w:color w:val="auto"/>
          <w:sz w:val="24"/>
          <w:szCs w:val="24"/>
          <w:vertAlign w:val="subscript"/>
        </w:rPr>
      </w:pPr>
      <w:r w:rsidRPr="00D006BD">
        <w:rPr>
          <w:rFonts w:ascii="Times New Roman" w:hAnsi="Times New Roman" w:cs="Times New Roman"/>
          <w:b/>
          <w:bCs/>
          <w:color w:val="auto"/>
          <w:sz w:val="24"/>
          <w:szCs w:val="24"/>
        </w:rPr>
        <w:t>1 pastaba</w:t>
      </w:r>
      <w:r w:rsidRPr="00524C6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802782" w:rsidRPr="00D006BD">
        <w:rPr>
          <w:rFonts w:ascii="Times New Roman" w:hAnsi="Times New Roman" w:cs="Times New Roman"/>
          <w:color w:val="auto"/>
          <w:sz w:val="24"/>
          <w:szCs w:val="24"/>
        </w:rPr>
        <w:t>Išankstiniai apmokėjimai</w:t>
      </w:r>
      <w:r w:rsidRPr="00D006BD">
        <w:rPr>
          <w:rFonts w:ascii="Times New Roman" w:hAnsi="Times New Roman" w:cs="Times New Roman"/>
          <w:color w:val="auto"/>
          <w:sz w:val="24"/>
          <w:szCs w:val="24"/>
        </w:rPr>
        <w:t xml:space="preserve"> – </w:t>
      </w:r>
      <w:r w:rsidR="00261F28" w:rsidRPr="00D006BD">
        <w:rPr>
          <w:rFonts w:ascii="Times New Roman" w:hAnsi="Times New Roman" w:cs="Times New Roman"/>
          <w:color w:val="auto"/>
          <w:sz w:val="24"/>
          <w:szCs w:val="24"/>
        </w:rPr>
        <w:t>215308,00</w:t>
      </w:r>
      <w:r w:rsidRPr="00D006BD">
        <w:rPr>
          <w:rFonts w:ascii="Times New Roman" w:hAnsi="Times New Roman" w:cs="Times New Roman"/>
          <w:color w:val="auto"/>
          <w:sz w:val="24"/>
          <w:szCs w:val="24"/>
        </w:rPr>
        <w:t xml:space="preserve"> Eur</w:t>
      </w:r>
      <w:r w:rsidRPr="005E06AC">
        <w:rPr>
          <w:rFonts w:ascii="Times New Roman" w:hAnsi="Times New Roman" w:cs="Times New Roman"/>
          <w:color w:val="auto"/>
          <w:sz w:val="24"/>
          <w:szCs w:val="24"/>
        </w:rPr>
        <w:t xml:space="preserve"> </w:t>
      </w:r>
      <w:r w:rsidR="00216A82" w:rsidRPr="005E06AC">
        <w:rPr>
          <w:rFonts w:ascii="Times New Roman" w:hAnsi="Times New Roman" w:cs="Times New Roman"/>
          <w:color w:val="auto"/>
          <w:sz w:val="24"/>
          <w:szCs w:val="24"/>
        </w:rPr>
        <w:t xml:space="preserve">, </w:t>
      </w:r>
      <w:r w:rsidR="00216A82" w:rsidRPr="008303F9">
        <w:rPr>
          <w:rFonts w:ascii="Times New Roman" w:hAnsi="Times New Roman" w:cs="Times New Roman"/>
          <w:color w:val="auto"/>
          <w:sz w:val="24"/>
          <w:szCs w:val="24"/>
        </w:rPr>
        <w:t xml:space="preserve">tai apmokėjimai </w:t>
      </w:r>
      <w:r w:rsidR="008303F9" w:rsidRPr="008303F9">
        <w:rPr>
          <w:rFonts w:ascii="Times New Roman" w:hAnsi="Times New Roman" w:cs="Times New Roman"/>
          <w:color w:val="auto"/>
          <w:sz w:val="24"/>
          <w:szCs w:val="24"/>
        </w:rPr>
        <w:t xml:space="preserve">už Skubios konsultacinės pagalbos programą. </w:t>
      </w:r>
      <w:r w:rsidR="00261F28" w:rsidRPr="00D006BD">
        <w:rPr>
          <w:rFonts w:ascii="Times New Roman" w:hAnsi="Times New Roman" w:cs="Times New Roman"/>
          <w:b/>
          <w:bCs/>
          <w:i/>
          <w:iCs/>
          <w:color w:val="auto"/>
          <w:sz w:val="24"/>
          <w:szCs w:val="24"/>
        </w:rPr>
        <w:t>priedas Nr. 1.</w:t>
      </w:r>
      <w:r w:rsidR="00261F28" w:rsidRPr="008303F9">
        <w:rPr>
          <w:rFonts w:ascii="Times New Roman" w:hAnsi="Times New Roman" w:cs="Times New Roman"/>
          <w:color w:val="auto"/>
          <w:sz w:val="24"/>
          <w:szCs w:val="24"/>
        </w:rPr>
        <w:t xml:space="preserve"> </w:t>
      </w:r>
    </w:p>
    <w:p w14:paraId="1F8721CE" w14:textId="05C0AFB5" w:rsidR="00B70A19" w:rsidRDefault="007C5A5B" w:rsidP="1684792E">
      <w:pPr>
        <w:pStyle w:val="Default"/>
        <w:contextualSpacing/>
        <w:jc w:val="both"/>
        <w:rPr>
          <w:color w:val="auto"/>
        </w:rPr>
      </w:pPr>
      <w:r w:rsidRPr="005E06AC">
        <w:rPr>
          <w:b/>
          <w:color w:val="auto"/>
        </w:rPr>
        <w:t>2 pastaba</w:t>
      </w:r>
      <w:r w:rsidRPr="005E06AC">
        <w:rPr>
          <w:color w:val="auto"/>
        </w:rPr>
        <w:t>.</w:t>
      </w:r>
      <w:r>
        <w:rPr>
          <w:color w:val="auto"/>
        </w:rPr>
        <w:t xml:space="preserve"> </w:t>
      </w:r>
      <w:r w:rsidRPr="005E06AC">
        <w:rPr>
          <w:color w:val="auto"/>
        </w:rPr>
        <w:t xml:space="preserve">Sukauptos gautinos sumos </w:t>
      </w:r>
      <w:bookmarkStart w:id="53" w:name="OLE_LINK4"/>
      <w:r w:rsidRPr="005E06AC">
        <w:rPr>
          <w:color w:val="auto"/>
        </w:rPr>
        <w:t>–</w:t>
      </w:r>
      <w:bookmarkEnd w:id="53"/>
      <w:r w:rsidRPr="005E06AC">
        <w:rPr>
          <w:color w:val="auto"/>
        </w:rPr>
        <w:t>33701743,31 Eur</w:t>
      </w:r>
    </w:p>
    <w:p w14:paraId="2BB1F176" w14:textId="1C8EC526" w:rsidR="00C9260B" w:rsidRPr="000E34F4" w:rsidRDefault="00C9260B" w:rsidP="1684792E">
      <w:pPr>
        <w:pStyle w:val="Default"/>
        <w:contextualSpacing/>
        <w:jc w:val="both"/>
        <w:rPr>
          <w:bCs/>
          <w:i/>
          <w:iCs/>
          <w:color w:val="auto"/>
        </w:rPr>
      </w:pPr>
      <w:r w:rsidRPr="000E34F4">
        <w:rPr>
          <w:bCs/>
          <w:i/>
          <w:iCs/>
          <w:color w:val="auto"/>
        </w:rPr>
        <w:t>Privalomojo sveikatos draudimo  fondo lėšos – 33463012,49 Eur</w:t>
      </w:r>
      <w:r w:rsidR="000E34F4">
        <w:rPr>
          <w:bCs/>
          <w:i/>
          <w:iCs/>
          <w:color w:val="auto"/>
        </w:rPr>
        <w:t xml:space="preserve"> iš jų:</w:t>
      </w:r>
    </w:p>
    <w:p w14:paraId="7C1728C3" w14:textId="7CE5FBF3" w:rsidR="007C5A5B" w:rsidRPr="005E06AC" w:rsidRDefault="007C5A5B" w:rsidP="0A6D203E">
      <w:pPr>
        <w:pStyle w:val="Default"/>
        <w:contextualSpacing/>
        <w:jc w:val="both"/>
        <w:rPr>
          <w:color w:val="auto"/>
        </w:rPr>
      </w:pPr>
      <w:r w:rsidRPr="005E06AC">
        <w:rPr>
          <w:color w:val="auto"/>
        </w:rPr>
        <w:t>Asmens sveikatos priežiūros paslaugoms – 32169709,08 Eur,</w:t>
      </w:r>
    </w:p>
    <w:p w14:paraId="1F83B249" w14:textId="2C2E0797" w:rsidR="007C5A5B" w:rsidRPr="005E06AC" w:rsidRDefault="007C5A5B" w:rsidP="0A6D203E">
      <w:pPr>
        <w:pStyle w:val="Default"/>
        <w:contextualSpacing/>
        <w:jc w:val="both"/>
        <w:rPr>
          <w:color w:val="auto"/>
        </w:rPr>
      </w:pPr>
      <w:r w:rsidRPr="005E06AC">
        <w:rPr>
          <w:color w:val="auto"/>
        </w:rPr>
        <w:t>Dantų protezavimo paslaugoms – 674621,95 Eur,</w:t>
      </w:r>
    </w:p>
    <w:p w14:paraId="1A5B4E4C" w14:textId="1DFFA027" w:rsidR="007C5A5B" w:rsidRPr="005E06AC" w:rsidRDefault="007C5A5B" w:rsidP="0A6D203E">
      <w:pPr>
        <w:pStyle w:val="Default"/>
        <w:contextualSpacing/>
        <w:jc w:val="both"/>
        <w:rPr>
          <w:color w:val="auto"/>
        </w:rPr>
      </w:pPr>
      <w:r w:rsidRPr="005E06AC">
        <w:rPr>
          <w:color w:val="auto"/>
        </w:rPr>
        <w:t>Gimdos kaklelio vėžio ankstyvosios diagnostikos programai – 44246,79 Eur,</w:t>
      </w:r>
    </w:p>
    <w:p w14:paraId="3BD780CB" w14:textId="72AFA9D8" w:rsidR="007C5A5B" w:rsidRPr="005E06AC" w:rsidRDefault="007C5A5B" w:rsidP="5A3C666B">
      <w:pPr>
        <w:pStyle w:val="Default"/>
        <w:contextualSpacing/>
        <w:jc w:val="both"/>
        <w:rPr>
          <w:color w:val="auto"/>
        </w:rPr>
      </w:pPr>
      <w:r w:rsidRPr="005E06AC">
        <w:rPr>
          <w:color w:val="auto"/>
        </w:rPr>
        <w:t xml:space="preserve">Atrankinės </w:t>
      </w:r>
      <w:proofErr w:type="spellStart"/>
      <w:r w:rsidRPr="005E06AC">
        <w:rPr>
          <w:color w:val="auto"/>
        </w:rPr>
        <w:t>mamografinės</w:t>
      </w:r>
      <w:proofErr w:type="spellEnd"/>
      <w:r w:rsidRPr="005E06AC">
        <w:rPr>
          <w:color w:val="auto"/>
        </w:rPr>
        <w:t xml:space="preserve"> patikros dėl krūties vėžio finansavimo programai – 115558,81 Eur,</w:t>
      </w:r>
    </w:p>
    <w:p w14:paraId="5574B4A6" w14:textId="77777777" w:rsidR="007C5A5B" w:rsidRPr="005E06AC" w:rsidRDefault="007C5A5B" w:rsidP="0A6D203E">
      <w:pPr>
        <w:pStyle w:val="Default"/>
        <w:contextualSpacing/>
        <w:jc w:val="both"/>
        <w:rPr>
          <w:color w:val="auto"/>
        </w:rPr>
      </w:pPr>
      <w:r w:rsidRPr="005E06AC">
        <w:rPr>
          <w:color w:val="auto"/>
        </w:rPr>
        <w:t>Širdies ir kraujagyslių ligų prevencijos ir ankstyvosios diagnostikos finansavimo programai – 269659,81 Eur.,</w:t>
      </w:r>
    </w:p>
    <w:p w14:paraId="79433A63" w14:textId="6C677654" w:rsidR="007C5A5B" w:rsidRPr="005E06AC" w:rsidRDefault="007C5A5B" w:rsidP="0A6D203E">
      <w:pPr>
        <w:pStyle w:val="Default"/>
        <w:contextualSpacing/>
        <w:jc w:val="both"/>
        <w:rPr>
          <w:color w:val="auto"/>
        </w:rPr>
      </w:pPr>
      <w:r w:rsidRPr="005E06AC">
        <w:rPr>
          <w:color w:val="auto"/>
        </w:rPr>
        <w:lastRenderedPageBreak/>
        <w:t>Priešinės liaukos vėžio ankstyvosios diagnostikos finansavimo programai – 32872,30 Eur</w:t>
      </w:r>
      <w:r w:rsidR="00B2414A">
        <w:rPr>
          <w:color w:val="auto"/>
        </w:rPr>
        <w:t>;</w:t>
      </w:r>
    </w:p>
    <w:p w14:paraId="2323F25C" w14:textId="05FC3534" w:rsidR="007C5A5B" w:rsidRPr="005E06AC" w:rsidRDefault="007C5A5B" w:rsidP="0A6D203E">
      <w:pPr>
        <w:pStyle w:val="Default"/>
        <w:contextualSpacing/>
        <w:jc w:val="both"/>
        <w:rPr>
          <w:color w:val="auto"/>
        </w:rPr>
      </w:pPr>
      <w:r w:rsidRPr="005E06AC">
        <w:rPr>
          <w:color w:val="auto"/>
        </w:rPr>
        <w:t>Storosios žarnos vėžio ankstyvosios diagnostikos  finansavimo programai – 117119,50 Eur;</w:t>
      </w:r>
    </w:p>
    <w:p w14:paraId="351579C8" w14:textId="2FCAF36B" w:rsidR="007C5A5B" w:rsidRPr="005E06AC" w:rsidRDefault="007C5A5B" w:rsidP="0A6D203E">
      <w:pPr>
        <w:pStyle w:val="Default"/>
        <w:contextualSpacing/>
        <w:jc w:val="both"/>
        <w:rPr>
          <w:color w:val="auto"/>
        </w:rPr>
      </w:pPr>
      <w:r w:rsidRPr="005E06AC">
        <w:rPr>
          <w:color w:val="auto"/>
        </w:rPr>
        <w:t>Europos sąjungos šalių apdraustųjų gydymui Lietuvos  ASPĮ – 30393,57 Eur</w:t>
      </w:r>
      <w:r w:rsidR="00B2414A">
        <w:rPr>
          <w:color w:val="auto"/>
        </w:rPr>
        <w:t>;</w:t>
      </w:r>
    </w:p>
    <w:p w14:paraId="441A4C0B" w14:textId="077FC3F7" w:rsidR="00B70A19" w:rsidRPr="005E06AC" w:rsidRDefault="007C5A5B" w:rsidP="1684792E">
      <w:pPr>
        <w:pStyle w:val="Default"/>
        <w:contextualSpacing/>
        <w:jc w:val="both"/>
        <w:rPr>
          <w:color w:val="auto"/>
        </w:rPr>
      </w:pPr>
      <w:r w:rsidRPr="005E06AC">
        <w:rPr>
          <w:color w:val="auto"/>
        </w:rPr>
        <w:t>Transplantacijos programai (potencialiems donorams paruošti) – 8830,68 Eur</w:t>
      </w:r>
      <w:r w:rsidR="00B2414A">
        <w:rPr>
          <w:color w:val="auto"/>
        </w:rPr>
        <w:t>;</w:t>
      </w:r>
    </w:p>
    <w:p w14:paraId="444DCA5C" w14:textId="10087F44" w:rsidR="000E34F4" w:rsidRDefault="000E34F4" w:rsidP="000E34F4">
      <w:pPr>
        <w:spacing w:after="0"/>
        <w:contextualSpacing/>
        <w:rPr>
          <w:rFonts w:ascii="Times New Roman" w:hAnsi="Times New Roman" w:cs="Times New Roman"/>
          <w:i/>
          <w:iCs/>
          <w:sz w:val="24"/>
          <w:szCs w:val="24"/>
        </w:rPr>
      </w:pPr>
      <w:r w:rsidRPr="000E34F4">
        <w:rPr>
          <w:rFonts w:ascii="Times New Roman" w:hAnsi="Times New Roman" w:cs="Times New Roman"/>
          <w:i/>
          <w:iCs/>
          <w:sz w:val="24"/>
          <w:szCs w:val="24"/>
        </w:rPr>
        <w:t>Valstybės biudžeto lėšos</w:t>
      </w:r>
      <w:r>
        <w:rPr>
          <w:rFonts w:ascii="Times New Roman" w:hAnsi="Times New Roman" w:cs="Times New Roman"/>
          <w:i/>
          <w:iCs/>
          <w:sz w:val="24"/>
          <w:szCs w:val="24"/>
        </w:rPr>
        <w:t>- 238730,82 Eur</w:t>
      </w:r>
      <w:r w:rsidR="00B2414A">
        <w:rPr>
          <w:rFonts w:ascii="Times New Roman" w:hAnsi="Times New Roman" w:cs="Times New Roman"/>
          <w:i/>
          <w:iCs/>
          <w:sz w:val="24"/>
          <w:szCs w:val="24"/>
        </w:rPr>
        <w:t>,</w:t>
      </w:r>
      <w:r>
        <w:rPr>
          <w:rFonts w:ascii="Times New Roman" w:hAnsi="Times New Roman" w:cs="Times New Roman"/>
          <w:i/>
          <w:iCs/>
          <w:sz w:val="24"/>
          <w:szCs w:val="24"/>
        </w:rPr>
        <w:t xml:space="preserve"> iš jų :</w:t>
      </w:r>
    </w:p>
    <w:p w14:paraId="218461E9" w14:textId="77777777" w:rsidR="007C5A5B" w:rsidRPr="000E34F4" w:rsidRDefault="007C5A5B" w:rsidP="000E34F4">
      <w:pPr>
        <w:spacing w:after="0"/>
        <w:contextualSpacing/>
        <w:rPr>
          <w:rFonts w:ascii="Times New Roman" w:hAnsi="Times New Roman" w:cs="Times New Roman"/>
          <w:sz w:val="24"/>
          <w:szCs w:val="24"/>
          <w:lang w:eastAsia="lt-LT"/>
        </w:rPr>
      </w:pPr>
      <w:r w:rsidRPr="005E06AC">
        <w:rPr>
          <w:rFonts w:ascii="Times New Roman" w:hAnsi="Times New Roman" w:cs="Times New Roman"/>
          <w:sz w:val="24"/>
          <w:szCs w:val="24"/>
          <w:lang w:eastAsia="lt-LT"/>
        </w:rPr>
        <w:t>Valstybės deleguotoms funkcijoms finansuoti – 238730,82 Eur.</w:t>
      </w:r>
    </w:p>
    <w:p w14:paraId="6EACE130" w14:textId="310710D9" w:rsidR="007C5A5B" w:rsidRPr="005E06AC" w:rsidRDefault="007C5A5B" w:rsidP="43A373F9">
      <w:pPr>
        <w:pStyle w:val="Default"/>
        <w:contextualSpacing/>
        <w:jc w:val="both"/>
        <w:rPr>
          <w:color w:val="auto"/>
        </w:rPr>
      </w:pPr>
      <w:r w:rsidRPr="005E06AC">
        <w:rPr>
          <w:b/>
          <w:color w:val="auto"/>
        </w:rPr>
        <w:t>3 pastaba</w:t>
      </w:r>
      <w:r w:rsidRPr="005E06AC">
        <w:rPr>
          <w:color w:val="auto"/>
        </w:rPr>
        <w:t>. Kitos gautinos sumos – 66557,55 Eur, išieškotinos ar grąžintinos lėšos privalomojo sveikatos draudimo fondo biudžetui už padarytą žalą.</w:t>
      </w:r>
    </w:p>
    <w:p w14:paraId="2F6F1062" w14:textId="771E10B2" w:rsidR="7FAD9246" w:rsidRPr="000E34F4" w:rsidRDefault="43A373F9" w:rsidP="000E34F4">
      <w:pPr>
        <w:pStyle w:val="Default"/>
        <w:jc w:val="both"/>
        <w:rPr>
          <w:b/>
          <w:color w:val="auto"/>
        </w:rPr>
      </w:pPr>
      <w:r w:rsidRPr="000E34F4">
        <w:rPr>
          <w:b/>
          <w:color w:val="auto"/>
        </w:rPr>
        <w:t>4 pa</w:t>
      </w:r>
      <w:r w:rsidR="3D67ED92" w:rsidRPr="000E34F4">
        <w:rPr>
          <w:b/>
          <w:color w:val="auto"/>
        </w:rPr>
        <w:t>staba.</w:t>
      </w:r>
      <w:r w:rsidR="43767677" w:rsidRPr="000E34F4">
        <w:rPr>
          <w:b/>
          <w:color w:val="auto"/>
        </w:rPr>
        <w:t xml:space="preserve"> </w:t>
      </w:r>
      <w:r w:rsidR="7FAD9246" w:rsidRPr="005E06AC">
        <w:rPr>
          <w:color w:val="auto"/>
        </w:rPr>
        <w:t>Finansavimo sumos – 215308,00 Eur - iš anksto pervestas finansavimas programų vykdytojams už skubią konsultacinę pagalbą.</w:t>
      </w:r>
    </w:p>
    <w:p w14:paraId="37A0FC15" w14:textId="577381E3" w:rsidR="00A90E2A" w:rsidRPr="005E06AC" w:rsidRDefault="16AB44FA" w:rsidP="000E34F4">
      <w:pPr>
        <w:pStyle w:val="Default"/>
        <w:jc w:val="both"/>
        <w:rPr>
          <w:color w:val="auto"/>
        </w:rPr>
      </w:pPr>
      <w:r w:rsidRPr="000E34F4">
        <w:rPr>
          <w:b/>
          <w:color w:val="auto"/>
        </w:rPr>
        <w:t>5 pastaba</w:t>
      </w:r>
      <w:r w:rsidRPr="005E06AC">
        <w:rPr>
          <w:color w:val="auto"/>
        </w:rPr>
        <w:t xml:space="preserve">. </w:t>
      </w:r>
      <w:r w:rsidR="0E7CB5B5" w:rsidRPr="005E06AC">
        <w:rPr>
          <w:color w:val="auto"/>
        </w:rPr>
        <w:t xml:space="preserve"> </w:t>
      </w:r>
      <w:r w:rsidR="04CC0B4C" w:rsidRPr="005E06AC">
        <w:rPr>
          <w:color w:val="auto"/>
        </w:rPr>
        <w:t xml:space="preserve">Mokėtinos socialinės išmokos  - </w:t>
      </w:r>
      <w:r w:rsidR="07C5A58B" w:rsidRPr="005E06AC">
        <w:rPr>
          <w:color w:val="auto"/>
        </w:rPr>
        <w:t>33745225,06</w:t>
      </w:r>
      <w:r w:rsidR="04CC0B4C" w:rsidRPr="005E06AC">
        <w:rPr>
          <w:color w:val="auto"/>
        </w:rPr>
        <w:t xml:space="preserve">  Eur įsiskolinimai už atliktas paslaugas</w:t>
      </w:r>
      <w:r w:rsidR="00A90E2A" w:rsidRPr="005E06AC">
        <w:rPr>
          <w:color w:val="auto"/>
        </w:rPr>
        <w:t>, iš jų:</w:t>
      </w:r>
    </w:p>
    <w:p w14:paraId="6CDA054B" w14:textId="1A1F6A17" w:rsidR="00A90E2A" w:rsidRPr="005E06AC" w:rsidRDefault="00A90E2A" w:rsidP="00A90E2A">
      <w:pPr>
        <w:pStyle w:val="Default"/>
        <w:contextualSpacing/>
        <w:jc w:val="both"/>
        <w:rPr>
          <w:color w:val="auto"/>
        </w:rPr>
      </w:pPr>
      <w:r w:rsidRPr="005E06AC">
        <w:rPr>
          <w:color w:val="auto"/>
        </w:rPr>
        <w:t>Asmens sveikatos priežiūros paslaugoms – 32213190,83 Eur</w:t>
      </w:r>
      <w:r w:rsidR="00B2414A">
        <w:rPr>
          <w:color w:val="auto"/>
        </w:rPr>
        <w:t>;</w:t>
      </w:r>
    </w:p>
    <w:p w14:paraId="3238565A" w14:textId="20A51A58" w:rsidR="00A90E2A" w:rsidRPr="005E06AC" w:rsidRDefault="00A90E2A" w:rsidP="00A90E2A">
      <w:pPr>
        <w:pStyle w:val="Default"/>
        <w:contextualSpacing/>
        <w:jc w:val="both"/>
        <w:rPr>
          <w:color w:val="auto"/>
        </w:rPr>
      </w:pPr>
      <w:r w:rsidRPr="005E06AC">
        <w:rPr>
          <w:color w:val="auto"/>
        </w:rPr>
        <w:t>Gimdos kaklelio vėžio ankstyvosios diagnostikos programai – 44246,79 Eur</w:t>
      </w:r>
      <w:r w:rsidR="00B2414A">
        <w:rPr>
          <w:color w:val="auto"/>
        </w:rPr>
        <w:t>;</w:t>
      </w:r>
    </w:p>
    <w:p w14:paraId="365591C4" w14:textId="3A802041" w:rsidR="00A90E2A" w:rsidRPr="005E06AC" w:rsidRDefault="00A90E2A" w:rsidP="00A90E2A">
      <w:pPr>
        <w:pStyle w:val="Default"/>
        <w:contextualSpacing/>
        <w:jc w:val="both"/>
        <w:rPr>
          <w:color w:val="auto"/>
        </w:rPr>
      </w:pPr>
      <w:r w:rsidRPr="005E06AC">
        <w:rPr>
          <w:color w:val="auto"/>
        </w:rPr>
        <w:t xml:space="preserve">Atrankinės </w:t>
      </w:r>
      <w:proofErr w:type="spellStart"/>
      <w:r w:rsidRPr="005E06AC">
        <w:rPr>
          <w:color w:val="auto"/>
        </w:rPr>
        <w:t>mamografinės</w:t>
      </w:r>
      <w:proofErr w:type="spellEnd"/>
      <w:r w:rsidRPr="005E06AC">
        <w:rPr>
          <w:color w:val="auto"/>
        </w:rPr>
        <w:t xml:space="preserve"> patikros dėl krūties vėžio finansavimo programai – 115558,81 Eur</w:t>
      </w:r>
      <w:r w:rsidR="00B2414A">
        <w:rPr>
          <w:color w:val="auto"/>
        </w:rPr>
        <w:t>;</w:t>
      </w:r>
    </w:p>
    <w:p w14:paraId="0BC5D93C" w14:textId="326C3505" w:rsidR="00A90E2A" w:rsidRPr="005E06AC" w:rsidRDefault="00A90E2A" w:rsidP="00A90E2A">
      <w:pPr>
        <w:pStyle w:val="Default"/>
        <w:contextualSpacing/>
        <w:jc w:val="both"/>
        <w:rPr>
          <w:color w:val="auto"/>
        </w:rPr>
      </w:pPr>
      <w:r w:rsidRPr="005E06AC">
        <w:rPr>
          <w:color w:val="auto"/>
        </w:rPr>
        <w:t>Širdies ir kraujagyslių ligų prevencijos ir ankstyvosios diagnostikos finansavimo programai – 269659,81 Eur</w:t>
      </w:r>
      <w:r w:rsidR="00B2414A">
        <w:rPr>
          <w:color w:val="auto"/>
        </w:rPr>
        <w:t>;</w:t>
      </w:r>
    </w:p>
    <w:p w14:paraId="402B7BC8" w14:textId="1F2ADEB1" w:rsidR="00A90E2A" w:rsidRPr="005E06AC" w:rsidRDefault="00A90E2A" w:rsidP="00A90E2A">
      <w:pPr>
        <w:pStyle w:val="Default"/>
        <w:contextualSpacing/>
        <w:jc w:val="both"/>
        <w:rPr>
          <w:color w:val="auto"/>
        </w:rPr>
      </w:pPr>
      <w:r w:rsidRPr="005E06AC">
        <w:rPr>
          <w:color w:val="auto"/>
        </w:rPr>
        <w:t>Priešinės liaukos vėžio ankstyvosios diagnostikos finansavimo programai – 32872,30 Eur</w:t>
      </w:r>
      <w:r w:rsidR="00B2414A">
        <w:rPr>
          <w:color w:val="auto"/>
        </w:rPr>
        <w:t>;</w:t>
      </w:r>
    </w:p>
    <w:p w14:paraId="5F388F35" w14:textId="4AADEFF6" w:rsidR="00A90E2A" w:rsidRPr="005E06AC" w:rsidRDefault="00A90E2A" w:rsidP="00A90E2A">
      <w:pPr>
        <w:pStyle w:val="Default"/>
        <w:contextualSpacing/>
        <w:jc w:val="both"/>
        <w:rPr>
          <w:color w:val="auto"/>
        </w:rPr>
      </w:pPr>
      <w:r w:rsidRPr="005E06AC">
        <w:rPr>
          <w:color w:val="auto"/>
        </w:rPr>
        <w:t>Storosios žarnos vėžio ankstyvosios diagnostikos  finansavimo programai – 117119,50 Eur;</w:t>
      </w:r>
    </w:p>
    <w:p w14:paraId="17DABF25" w14:textId="35B275C2" w:rsidR="00A90E2A" w:rsidRPr="005E06AC" w:rsidRDefault="00A90E2A" w:rsidP="00A90E2A">
      <w:pPr>
        <w:pStyle w:val="Default"/>
        <w:contextualSpacing/>
        <w:jc w:val="both"/>
        <w:rPr>
          <w:color w:val="auto"/>
        </w:rPr>
      </w:pPr>
      <w:r w:rsidRPr="005E06AC">
        <w:rPr>
          <w:color w:val="auto"/>
        </w:rPr>
        <w:t>Europos sąjungos šalių apdraustųjų gydymui Lietuvos ASPĮ – 30393,57 Eur</w:t>
      </w:r>
      <w:r w:rsidR="00B2414A">
        <w:rPr>
          <w:color w:val="auto"/>
        </w:rPr>
        <w:t>;</w:t>
      </w:r>
    </w:p>
    <w:p w14:paraId="3DE3AE95" w14:textId="6C84B40A" w:rsidR="00A90E2A" w:rsidRPr="005E06AC" w:rsidRDefault="00A90E2A" w:rsidP="00A90E2A">
      <w:pPr>
        <w:pStyle w:val="Default"/>
        <w:contextualSpacing/>
        <w:jc w:val="both"/>
        <w:rPr>
          <w:color w:val="auto"/>
        </w:rPr>
      </w:pPr>
      <w:r w:rsidRPr="005E06AC">
        <w:rPr>
          <w:color w:val="auto"/>
        </w:rPr>
        <w:t>Transplantacijos programai (potencialiems donorams paruošti) – 8830,68 Eur</w:t>
      </w:r>
      <w:r w:rsidR="00B2414A">
        <w:rPr>
          <w:color w:val="auto"/>
        </w:rPr>
        <w:t>;</w:t>
      </w:r>
    </w:p>
    <w:p w14:paraId="1924C6A4" w14:textId="65244788" w:rsidR="00A90E2A" w:rsidRPr="005E06AC" w:rsidRDefault="00A90E2A" w:rsidP="00A90E2A">
      <w:pPr>
        <w:pStyle w:val="Default"/>
        <w:contextualSpacing/>
        <w:jc w:val="both"/>
        <w:rPr>
          <w:color w:val="auto"/>
        </w:rPr>
      </w:pPr>
      <w:r w:rsidRPr="005E06AC">
        <w:rPr>
          <w:color w:val="auto"/>
        </w:rPr>
        <w:t>Dantų protezavimo paslaugoms – 674621,95 Eur</w:t>
      </w:r>
      <w:r w:rsidR="00B2414A">
        <w:rPr>
          <w:color w:val="auto"/>
        </w:rPr>
        <w:t>;</w:t>
      </w:r>
    </w:p>
    <w:p w14:paraId="2DEA14E9" w14:textId="77777777" w:rsidR="00A90E2A" w:rsidRPr="005E06AC" w:rsidRDefault="00A90E2A" w:rsidP="00A90E2A">
      <w:pPr>
        <w:autoSpaceDE w:val="0"/>
        <w:autoSpaceDN w:val="0"/>
        <w:adjustRightInd w:val="0"/>
        <w:spacing w:after="0"/>
        <w:contextualSpacing/>
        <w:jc w:val="both"/>
        <w:rPr>
          <w:rFonts w:ascii="Times New Roman" w:hAnsi="Times New Roman" w:cs="Times New Roman"/>
          <w:sz w:val="24"/>
          <w:szCs w:val="24"/>
          <w:lang w:eastAsia="lt-LT"/>
        </w:rPr>
      </w:pPr>
      <w:r w:rsidRPr="005E06AC">
        <w:rPr>
          <w:rFonts w:ascii="Times New Roman" w:hAnsi="Times New Roman" w:cs="Times New Roman"/>
          <w:sz w:val="24"/>
          <w:szCs w:val="24"/>
          <w:lang w:eastAsia="lt-LT"/>
        </w:rPr>
        <w:t>Valstybės deleguotoms funkcijoms finansuoti – 238730,82 Eur.</w:t>
      </w:r>
    </w:p>
    <w:p w14:paraId="7CA61743" w14:textId="3BD911C9" w:rsidR="04CC0B4C" w:rsidRPr="005E06AC" w:rsidRDefault="00A90E2A" w:rsidP="000E34F4">
      <w:pPr>
        <w:pStyle w:val="Default"/>
        <w:jc w:val="both"/>
        <w:rPr>
          <w:color w:val="auto"/>
        </w:rPr>
      </w:pPr>
      <w:r w:rsidRPr="005E06AC">
        <w:rPr>
          <w:color w:val="auto"/>
        </w:rPr>
        <w:t xml:space="preserve">Lyginant su </w:t>
      </w:r>
      <w:r w:rsidR="00426D5B" w:rsidRPr="005E06AC">
        <w:rPr>
          <w:color w:val="auto"/>
        </w:rPr>
        <w:t>praėjusiu ataskaitiniu laikotarpiu, mokėtinos socialinės išmokos sumažėjo 5447638,06 Eur, dėl  už asmens sveikatos priežiūros paslaugas įsipareigojimų sumažėjimo.</w:t>
      </w:r>
    </w:p>
    <w:p w14:paraId="3A4A0FFD" w14:textId="118C1CA5" w:rsidR="00B70A19" w:rsidRPr="00CB7BE8" w:rsidDel="73A97703" w:rsidRDefault="007C5A5B" w:rsidP="00CB7BE8">
      <w:pPr>
        <w:contextualSpacing/>
      </w:pPr>
      <w:r w:rsidRPr="00F55D04" w:rsidDel="00B70A19">
        <w:rPr>
          <w:rFonts w:ascii="Times New Roman" w:hAnsi="Times New Roman" w:cs="Times New Roman"/>
          <w:bCs/>
          <w:sz w:val="24"/>
          <w:szCs w:val="24"/>
        </w:rPr>
        <w:t xml:space="preserve">Socialinės </w:t>
      </w:r>
      <w:r w:rsidRPr="005E06AC">
        <w:rPr>
          <w:rFonts w:ascii="Times New Roman" w:hAnsi="Times New Roman" w:cs="Times New Roman"/>
          <w:bCs/>
          <w:sz w:val="24"/>
          <w:szCs w:val="24"/>
        </w:rPr>
        <w:t>išmokos</w:t>
      </w:r>
      <w:r w:rsidRPr="00D006BD" w:rsidDel="73A97703">
        <w:rPr>
          <w:rFonts w:ascii="Times New Roman" w:hAnsi="Times New Roman" w:cs="Times New Roman"/>
          <w:sz w:val="24"/>
          <w:szCs w:val="24"/>
        </w:rPr>
        <w:t xml:space="preserve"> užregistruotos pagal sveikatos apsaugos segmentą – 213386769,86 Eur.</w:t>
      </w:r>
    </w:p>
    <w:p w14:paraId="6AFB8DF3" w14:textId="4733AA80" w:rsidR="007C5A5B" w:rsidRPr="00F55D04" w:rsidDel="73A97703" w:rsidRDefault="39567C83" w:rsidP="00CB7BE8">
      <w:pPr>
        <w:jc w:val="both"/>
      </w:pPr>
      <w:r w:rsidRPr="00CB7BE8">
        <w:rPr>
          <w:rFonts w:ascii="Times New Roman" w:eastAsia="Times New Roman" w:hAnsi="Times New Roman" w:cs="Times New Roman"/>
          <w:b/>
          <w:sz w:val="24"/>
          <w:szCs w:val="24"/>
        </w:rPr>
        <w:t>6</w:t>
      </w:r>
      <w:r w:rsidR="0EFCBECA" w:rsidRPr="00CB7BE8">
        <w:rPr>
          <w:rFonts w:ascii="Times New Roman" w:eastAsia="Times New Roman" w:hAnsi="Times New Roman" w:cs="Times New Roman"/>
          <w:b/>
          <w:sz w:val="24"/>
          <w:szCs w:val="24"/>
        </w:rPr>
        <w:t xml:space="preserve"> </w:t>
      </w:r>
      <w:r w:rsidR="2F247D6F" w:rsidRPr="00CB7BE8">
        <w:rPr>
          <w:rFonts w:ascii="Times New Roman" w:eastAsia="Times New Roman" w:hAnsi="Times New Roman" w:cs="Times New Roman"/>
          <w:b/>
          <w:sz w:val="24"/>
          <w:szCs w:val="24"/>
        </w:rPr>
        <w:t xml:space="preserve">pastaba. </w:t>
      </w:r>
      <w:r w:rsidR="2F247D6F" w:rsidRPr="00CB7BE8">
        <w:rPr>
          <w:rFonts w:ascii="Times New Roman" w:eastAsia="Times New Roman" w:hAnsi="Times New Roman" w:cs="Times New Roman"/>
          <w:sz w:val="24"/>
          <w:szCs w:val="24"/>
        </w:rPr>
        <w:t>Sukauptos mokėtinos sumos</w:t>
      </w:r>
      <w:r w:rsidR="2F247D6F" w:rsidRPr="00CB7BE8">
        <w:rPr>
          <w:rFonts w:ascii="Times New Roman" w:eastAsia="Times New Roman" w:hAnsi="Times New Roman" w:cs="Times New Roman"/>
          <w:b/>
          <w:sz w:val="24"/>
          <w:szCs w:val="24"/>
        </w:rPr>
        <w:t xml:space="preserve"> – </w:t>
      </w:r>
      <w:r w:rsidR="2F247D6F" w:rsidRPr="00CB7BE8">
        <w:rPr>
          <w:rFonts w:ascii="Times New Roman" w:eastAsia="Times New Roman" w:hAnsi="Times New Roman" w:cs="Times New Roman"/>
          <w:sz w:val="24"/>
          <w:szCs w:val="24"/>
        </w:rPr>
        <w:t>23075,80 Eur, pervestina suma Kauno TLK už ASPĮ neteisingai išrašytus vaistus ir MPP.</w:t>
      </w:r>
    </w:p>
    <w:p w14:paraId="6513734A" w14:textId="3DC6FCE2" w:rsidR="00426D5B" w:rsidRDefault="2F247D6F" w:rsidP="00426D5B">
      <w:pPr>
        <w:jc w:val="both"/>
        <w:rPr>
          <w:rFonts w:ascii="Times New Roman" w:eastAsia="Times New Roman" w:hAnsi="Times New Roman" w:cs="Times New Roman"/>
          <w:sz w:val="24"/>
          <w:szCs w:val="24"/>
        </w:rPr>
      </w:pPr>
      <w:r w:rsidRPr="00CB7BE8">
        <w:rPr>
          <w:rFonts w:ascii="Times New Roman" w:eastAsia="Times New Roman" w:hAnsi="Times New Roman" w:cs="Times New Roman"/>
          <w:sz w:val="24"/>
          <w:szCs w:val="24"/>
        </w:rPr>
        <w:t xml:space="preserve"> </w:t>
      </w:r>
    </w:p>
    <w:p w14:paraId="4F15CC3F" w14:textId="3018AA12" w:rsidR="007C5A5B" w:rsidRPr="00CB7BE8" w:rsidDel="73A97703" w:rsidRDefault="2F247D6F" w:rsidP="00CF70F5">
      <w:pPr>
        <w:jc w:val="center"/>
        <w:rPr>
          <w:rFonts w:ascii="Times New Roman" w:eastAsia="Times New Roman" w:hAnsi="Times New Roman" w:cs="Times New Roman"/>
          <w:b/>
          <w:sz w:val="24"/>
          <w:szCs w:val="24"/>
        </w:rPr>
      </w:pPr>
      <w:r w:rsidRPr="00CB7BE8">
        <w:rPr>
          <w:rFonts w:ascii="Times New Roman" w:eastAsia="Times New Roman" w:hAnsi="Times New Roman" w:cs="Times New Roman"/>
          <w:b/>
          <w:sz w:val="24"/>
          <w:szCs w:val="24"/>
        </w:rPr>
        <w:t>Veiklos rezultatų ataskaita</w:t>
      </w:r>
    </w:p>
    <w:p w14:paraId="6C5DEA0A" w14:textId="2EEDE8F5" w:rsidR="002E5896" w:rsidRDefault="002E5896" w:rsidP="008B15C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Veiklos rezultatų ataskaitos s</w:t>
      </w:r>
      <w:r w:rsidR="79078A22" w:rsidRPr="00CB7BE8">
        <w:rPr>
          <w:rFonts w:ascii="Times New Roman" w:eastAsia="Times New Roman" w:hAnsi="Times New Roman" w:cs="Times New Roman"/>
          <w:sz w:val="24"/>
          <w:szCs w:val="24"/>
        </w:rPr>
        <w:t>tulpelyje (Praėjęs ataskaitinis laikotarpis) pateikti duomenys 2024 gruodžio 31 datai, nes Klaipėdos TLK 2025 06 30 reorganizuota</w:t>
      </w:r>
      <w:r>
        <w:rPr>
          <w:rFonts w:ascii="Times New Roman" w:eastAsia="Times New Roman" w:hAnsi="Times New Roman" w:cs="Times New Roman"/>
          <w:sz w:val="24"/>
          <w:szCs w:val="24"/>
        </w:rPr>
        <w:t xml:space="preserve"> </w:t>
      </w:r>
      <w:r w:rsidRPr="00064D69">
        <w:rPr>
          <w:rFonts w:ascii="Times New Roman" w:eastAsia="Times New Roman" w:hAnsi="Times New Roman" w:cs="Times New Roman"/>
          <w:sz w:val="24"/>
          <w:szCs w:val="24"/>
        </w:rPr>
        <w:t>(finansiniai metai yra trumpesni už kalendorinius metus)</w:t>
      </w:r>
      <w:r>
        <w:rPr>
          <w:rFonts w:ascii="Times New Roman" w:eastAsia="Times New Roman" w:hAnsi="Times New Roman" w:cs="Times New Roman"/>
          <w:sz w:val="24"/>
          <w:szCs w:val="24"/>
        </w:rPr>
        <w:t xml:space="preserve">. Todėl ataskaitinio ir praėjusio laikotarpio duomenys </w:t>
      </w:r>
      <w:bookmarkStart w:id="54" w:name="_Hlk206760801"/>
      <w:r>
        <w:rPr>
          <w:rFonts w:ascii="Times New Roman" w:eastAsia="Times New Roman" w:hAnsi="Times New Roman" w:cs="Times New Roman"/>
          <w:sz w:val="24"/>
          <w:szCs w:val="24"/>
        </w:rPr>
        <w:t>nepalyginami.</w:t>
      </w:r>
      <w:r w:rsidRPr="00064D69">
        <w:rPr>
          <w:rFonts w:ascii="Times New Roman" w:eastAsia="Times New Roman" w:hAnsi="Times New Roman" w:cs="Times New Roman"/>
          <w:sz w:val="24"/>
          <w:szCs w:val="24"/>
        </w:rPr>
        <w:t xml:space="preserve"> </w:t>
      </w:r>
    </w:p>
    <w:p w14:paraId="6503FFAD" w14:textId="68410A3C" w:rsidR="002E5896" w:rsidRDefault="002E5896" w:rsidP="008B15C6">
      <w:pPr>
        <w:spacing w:after="0"/>
        <w:contextualSpacing/>
        <w:jc w:val="both"/>
        <w:rPr>
          <w:rFonts w:ascii="Times New Roman" w:eastAsia="Times New Roman" w:hAnsi="Times New Roman" w:cs="Times New Roman"/>
          <w:sz w:val="24"/>
          <w:szCs w:val="24"/>
        </w:rPr>
      </w:pPr>
      <w:r w:rsidRPr="00064D69">
        <w:rPr>
          <w:rFonts w:ascii="Times New Roman" w:eastAsia="Times New Roman" w:hAnsi="Times New Roman" w:cs="Times New Roman"/>
          <w:b/>
          <w:bCs/>
          <w:sz w:val="24"/>
          <w:szCs w:val="24"/>
        </w:rPr>
        <w:t xml:space="preserve">7 pastaba. </w:t>
      </w:r>
      <w:r w:rsidRPr="00064D69">
        <w:rPr>
          <w:rFonts w:ascii="Times New Roman" w:eastAsia="Times New Roman" w:hAnsi="Times New Roman" w:cs="Times New Roman"/>
          <w:sz w:val="24"/>
          <w:szCs w:val="24"/>
        </w:rPr>
        <w:t>Pagrindinės veiklos pajamos.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Per ataskaitinį laikotarpį gauta finansavimo pajamų -</w:t>
      </w:r>
      <w:r>
        <w:rPr>
          <w:rFonts w:ascii="Times New Roman" w:eastAsia="Times New Roman" w:hAnsi="Times New Roman" w:cs="Times New Roman"/>
          <w:b/>
          <w:bCs/>
          <w:sz w:val="24"/>
          <w:szCs w:val="24"/>
        </w:rPr>
        <w:t xml:space="preserve"> </w:t>
      </w:r>
      <w:r w:rsidRPr="00064D69">
        <w:rPr>
          <w:rFonts w:ascii="Times New Roman" w:eastAsia="Times New Roman" w:hAnsi="Times New Roman" w:cs="Times New Roman"/>
          <w:sz w:val="24"/>
          <w:szCs w:val="24"/>
        </w:rPr>
        <w:t>213386769,86 Eur</w:t>
      </w:r>
      <w:r w:rsidR="00B241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iš jų: </w:t>
      </w:r>
    </w:p>
    <w:p w14:paraId="72B87BAE" w14:textId="713340EB" w:rsidR="002E5896" w:rsidRDefault="002E5896" w:rsidP="008B15C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Privalomojo sveikatos draudimo  fondo biudžeto - 212632528,47 Eur;</w:t>
      </w:r>
    </w:p>
    <w:p w14:paraId="2A6DA604" w14:textId="77777777" w:rsidR="002E5896" w:rsidRPr="00D006BD" w:rsidDel="73A97703" w:rsidRDefault="002E5896" w:rsidP="008B15C6">
      <w:pPr>
        <w:spacing w:after="0"/>
        <w:contextualSpacing/>
        <w:jc w:val="both"/>
      </w:pPr>
      <w:r>
        <w:rPr>
          <w:rFonts w:ascii="Times New Roman" w:eastAsia="Times New Roman" w:hAnsi="Times New Roman" w:cs="Times New Roman"/>
          <w:sz w:val="24"/>
          <w:szCs w:val="24"/>
        </w:rPr>
        <w:t>Valstybės biudžeto (Valstybės deleguotoms funkcijoms) – 754241,39 Eur.</w:t>
      </w:r>
    </w:p>
    <w:p w14:paraId="4B86BF32" w14:textId="1908A4C6" w:rsidR="002E5896" w:rsidRPr="00F55D04" w:rsidDel="73A97703" w:rsidRDefault="002E5896" w:rsidP="008B15C6">
      <w:pPr>
        <w:spacing w:after="0"/>
        <w:contextualSpacing/>
        <w:jc w:val="both"/>
      </w:pPr>
      <w:r w:rsidRPr="00064D69">
        <w:rPr>
          <w:rFonts w:ascii="Times New Roman" w:eastAsia="Times New Roman" w:hAnsi="Times New Roman" w:cs="Times New Roman"/>
          <w:b/>
          <w:bCs/>
          <w:sz w:val="24"/>
          <w:szCs w:val="24"/>
        </w:rPr>
        <w:t xml:space="preserve">8 pastaba. </w:t>
      </w:r>
      <w:r w:rsidRPr="00064D69">
        <w:rPr>
          <w:rFonts w:ascii="Times New Roman" w:eastAsia="Times New Roman" w:hAnsi="Times New Roman" w:cs="Times New Roman"/>
          <w:sz w:val="24"/>
          <w:szCs w:val="24"/>
        </w:rPr>
        <w:t xml:space="preserve">Pagrindinės veiklos kitos pajamos 0,00 Eur, Informacija apie pagrindinės veiklos kitas pajamas pagal 10-o standarto 2 priede pateiktą formą, </w:t>
      </w:r>
      <w:r w:rsidRPr="00064D69">
        <w:rPr>
          <w:rFonts w:ascii="Times New Roman" w:eastAsia="Times New Roman" w:hAnsi="Times New Roman" w:cs="Times New Roman"/>
          <w:b/>
          <w:bCs/>
          <w:i/>
          <w:iCs/>
          <w:sz w:val="24"/>
          <w:szCs w:val="24"/>
        </w:rPr>
        <w:t>priedas Nr. 2</w:t>
      </w:r>
      <w:r w:rsidRPr="00064D69">
        <w:rPr>
          <w:rFonts w:ascii="Times New Roman" w:eastAsia="Times New Roman" w:hAnsi="Times New Roman" w:cs="Times New Roman"/>
          <w:sz w:val="24"/>
          <w:szCs w:val="24"/>
        </w:rPr>
        <w:t xml:space="preserve">. </w:t>
      </w:r>
    </w:p>
    <w:p w14:paraId="0B61AF8B" w14:textId="5E00EF9D" w:rsidR="002E5896" w:rsidRDefault="002E5896" w:rsidP="008B15C6">
      <w:pPr>
        <w:spacing w:after="0"/>
        <w:contextualSpacing/>
        <w:jc w:val="both"/>
        <w:rPr>
          <w:rFonts w:ascii="Times New Roman" w:eastAsia="Times New Roman" w:hAnsi="Times New Roman" w:cs="Times New Roman"/>
          <w:sz w:val="24"/>
          <w:szCs w:val="24"/>
        </w:rPr>
      </w:pPr>
      <w:r w:rsidRPr="00064D69">
        <w:rPr>
          <w:rFonts w:ascii="Times New Roman" w:eastAsia="Times New Roman" w:hAnsi="Times New Roman" w:cs="Times New Roman"/>
          <w:b/>
          <w:bCs/>
          <w:sz w:val="24"/>
          <w:szCs w:val="24"/>
        </w:rPr>
        <w:t xml:space="preserve">9 pastaba. </w:t>
      </w:r>
      <w:r w:rsidRPr="00064D69">
        <w:rPr>
          <w:rFonts w:ascii="Times New Roman" w:eastAsia="Times New Roman" w:hAnsi="Times New Roman" w:cs="Times New Roman"/>
          <w:sz w:val="24"/>
          <w:szCs w:val="24"/>
        </w:rPr>
        <w:t>Pagrindinės veiklos sąnaudos, tai</w:t>
      </w:r>
      <w:r>
        <w:rPr>
          <w:rFonts w:ascii="Times New Roman" w:eastAsia="Times New Roman" w:hAnsi="Times New Roman" w:cs="Times New Roman"/>
          <w:b/>
          <w:bCs/>
          <w:sz w:val="24"/>
          <w:szCs w:val="24"/>
        </w:rPr>
        <w:t xml:space="preserve"> </w:t>
      </w:r>
      <w:r w:rsidRPr="00064D69">
        <w:rPr>
          <w:rFonts w:ascii="Times New Roman" w:eastAsia="Times New Roman" w:hAnsi="Times New Roman" w:cs="Times New Roman"/>
          <w:sz w:val="24"/>
          <w:szCs w:val="24"/>
        </w:rPr>
        <w:t>Socialin</w:t>
      </w:r>
      <w:r>
        <w:rPr>
          <w:rFonts w:ascii="Times New Roman" w:eastAsia="Times New Roman" w:hAnsi="Times New Roman" w:cs="Times New Roman"/>
          <w:sz w:val="24"/>
          <w:szCs w:val="24"/>
        </w:rPr>
        <w:t xml:space="preserve">ių </w:t>
      </w:r>
      <w:r w:rsidRPr="00064D69">
        <w:rPr>
          <w:rFonts w:ascii="Times New Roman" w:eastAsia="Times New Roman" w:hAnsi="Times New Roman" w:cs="Times New Roman"/>
          <w:sz w:val="24"/>
          <w:szCs w:val="24"/>
        </w:rPr>
        <w:t>išmok</w:t>
      </w:r>
      <w:r>
        <w:rPr>
          <w:rFonts w:ascii="Times New Roman" w:eastAsia="Times New Roman" w:hAnsi="Times New Roman" w:cs="Times New Roman"/>
          <w:sz w:val="24"/>
          <w:szCs w:val="24"/>
        </w:rPr>
        <w:t>ų sąnaudos</w:t>
      </w:r>
      <w:r w:rsidRPr="00064D69">
        <w:rPr>
          <w:rFonts w:ascii="Times New Roman" w:eastAsia="Times New Roman" w:hAnsi="Times New Roman" w:cs="Times New Roman"/>
          <w:sz w:val="24"/>
          <w:szCs w:val="24"/>
        </w:rPr>
        <w:t>, užregistruotos pagal sveikatos apsaugos segmentą – 213386769,86 Eur</w:t>
      </w:r>
      <w:r w:rsidR="00B2414A">
        <w:rPr>
          <w:rFonts w:ascii="Times New Roman" w:eastAsia="Times New Roman" w:hAnsi="Times New Roman" w:cs="Times New Roman"/>
          <w:sz w:val="24"/>
          <w:szCs w:val="24"/>
        </w:rPr>
        <w:t>,</w:t>
      </w:r>
      <w:r w:rsidR="00D16E20">
        <w:rPr>
          <w:rFonts w:ascii="Times New Roman" w:eastAsia="Times New Roman" w:hAnsi="Times New Roman" w:cs="Times New Roman"/>
          <w:sz w:val="24"/>
          <w:szCs w:val="24"/>
        </w:rPr>
        <w:t xml:space="preserve"> iš jų:</w:t>
      </w:r>
    </w:p>
    <w:p w14:paraId="288F37C0" w14:textId="388810E9" w:rsidR="00D16E20" w:rsidRDefault="00EC3E9C" w:rsidP="008B15C6">
      <w:pPr>
        <w:spacing w:after="0"/>
        <w:ind w:firstLine="129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204522704,59 Eur, </w:t>
      </w:r>
      <w:r w:rsidR="00D16E20">
        <w:rPr>
          <w:rFonts w:ascii="Times New Roman" w:eastAsia="Times New Roman" w:hAnsi="Times New Roman" w:cs="Times New Roman"/>
          <w:sz w:val="24"/>
          <w:szCs w:val="24"/>
        </w:rPr>
        <w:t>Asmens sveikatos priežiūros paslaugoms apmokėti (Iš viso sąnaudų patirta 204593609,88 Eur, sąnaudos mažintos 70905,29 Eur dėl priskaitytų žalų PSDF biudžetui)</w:t>
      </w:r>
      <w:r>
        <w:rPr>
          <w:rFonts w:ascii="Times New Roman" w:eastAsia="Times New Roman" w:hAnsi="Times New Roman" w:cs="Times New Roman"/>
          <w:sz w:val="24"/>
          <w:szCs w:val="24"/>
        </w:rPr>
        <w:t>;</w:t>
      </w:r>
    </w:p>
    <w:p w14:paraId="024B0849" w14:textId="07C4391F" w:rsidR="00EC3E9C" w:rsidRDefault="00EC3E9C" w:rsidP="008B15C6">
      <w:pPr>
        <w:spacing w:after="0"/>
        <w:ind w:firstLine="129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8109823,88 Eur, Sveikatos programoms apmokėti;</w:t>
      </w:r>
    </w:p>
    <w:p w14:paraId="1364D5F9" w14:textId="22328926" w:rsidR="00EC3E9C" w:rsidRDefault="00EC3E9C" w:rsidP="008B15C6">
      <w:pPr>
        <w:spacing w:after="0"/>
        <w:ind w:firstLine="129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754241,39 Eur, Valstybės deleguotoms funkcijoms vykdyti.</w:t>
      </w:r>
    </w:p>
    <w:p w14:paraId="0D4728F3" w14:textId="77777777" w:rsidR="00D16E20" w:rsidRDefault="00D16E20" w:rsidP="002E5896">
      <w:pPr>
        <w:contextualSpacing/>
        <w:jc w:val="both"/>
        <w:rPr>
          <w:rFonts w:ascii="Times New Roman" w:eastAsia="Times New Roman" w:hAnsi="Times New Roman" w:cs="Times New Roman"/>
          <w:sz w:val="24"/>
          <w:szCs w:val="24"/>
        </w:rPr>
      </w:pPr>
    </w:p>
    <w:bookmarkEnd w:id="54"/>
    <w:p w14:paraId="607C002D" w14:textId="33674A63" w:rsidR="007C5A5B" w:rsidRDefault="2F247D6F">
      <w:pPr>
        <w:jc w:val="center"/>
        <w:rPr>
          <w:rFonts w:ascii="Times New Roman" w:eastAsia="Times New Roman" w:hAnsi="Times New Roman" w:cs="Times New Roman"/>
          <w:b/>
          <w:bCs/>
          <w:sz w:val="24"/>
          <w:szCs w:val="24"/>
        </w:rPr>
      </w:pPr>
      <w:r w:rsidRPr="00CB7BE8">
        <w:rPr>
          <w:rFonts w:ascii="Times New Roman" w:eastAsia="Times New Roman" w:hAnsi="Times New Roman" w:cs="Times New Roman"/>
          <w:b/>
          <w:sz w:val="24"/>
          <w:szCs w:val="24"/>
        </w:rPr>
        <w:t>Pinigų srautų ataskaita</w:t>
      </w:r>
    </w:p>
    <w:p w14:paraId="521D3098" w14:textId="77777777" w:rsidR="008B15C6" w:rsidRDefault="00426D5B" w:rsidP="008B15C6">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10</w:t>
      </w:r>
      <w:r w:rsidRPr="00064D69">
        <w:rPr>
          <w:rFonts w:ascii="Times New Roman" w:eastAsia="Times New Roman" w:hAnsi="Times New Roman" w:cs="Times New Roman"/>
          <w:b/>
          <w:bCs/>
          <w:sz w:val="24"/>
          <w:szCs w:val="24"/>
        </w:rPr>
        <w:t xml:space="preserve"> pastaba. </w:t>
      </w:r>
      <w:r w:rsidR="00FE41BE" w:rsidRPr="00CB7BE8">
        <w:rPr>
          <w:rFonts w:ascii="Times New Roman" w:eastAsia="Times New Roman" w:hAnsi="Times New Roman" w:cs="Times New Roman"/>
          <w:sz w:val="24"/>
          <w:szCs w:val="24"/>
        </w:rPr>
        <w:t>Įplaukos.</w:t>
      </w:r>
      <w:r w:rsidRPr="00064D69">
        <w:rPr>
          <w:rFonts w:ascii="Times New Roman" w:eastAsia="Times New Roman" w:hAnsi="Times New Roman" w:cs="Times New Roman"/>
          <w:b/>
          <w:bCs/>
          <w:sz w:val="24"/>
          <w:szCs w:val="24"/>
        </w:rPr>
        <w:t xml:space="preserve"> </w:t>
      </w:r>
      <w:r w:rsidR="00FE41BE" w:rsidRPr="00CB7BE8">
        <w:rPr>
          <w:rFonts w:ascii="Times New Roman" w:eastAsia="Times New Roman" w:hAnsi="Times New Roman" w:cs="Times New Roman"/>
          <w:sz w:val="24"/>
          <w:szCs w:val="24"/>
        </w:rPr>
        <w:t>Per ataskaitinį laikotarpį gauta įplaukų</w:t>
      </w:r>
      <w:r w:rsidR="00FE41BE">
        <w:rPr>
          <w:rFonts w:ascii="Times New Roman" w:eastAsia="Times New Roman" w:hAnsi="Times New Roman" w:cs="Times New Roman"/>
          <w:sz w:val="24"/>
          <w:szCs w:val="24"/>
        </w:rPr>
        <w:t xml:space="preserve"> – 203669486,90 Eur, iš jų iš Privalomojo sveikatos draudimo fondo lėšų – 202899903</w:t>
      </w:r>
      <w:r w:rsidR="00E902FD">
        <w:rPr>
          <w:rFonts w:ascii="Times New Roman" w:eastAsia="Times New Roman" w:hAnsi="Times New Roman" w:cs="Times New Roman"/>
          <w:sz w:val="24"/>
          <w:szCs w:val="24"/>
        </w:rPr>
        <w:t>,</w:t>
      </w:r>
      <w:r w:rsidR="00FE41BE">
        <w:rPr>
          <w:rFonts w:ascii="Times New Roman" w:eastAsia="Times New Roman" w:hAnsi="Times New Roman" w:cs="Times New Roman"/>
          <w:sz w:val="24"/>
          <w:szCs w:val="24"/>
        </w:rPr>
        <w:t>60 Eur; iš Valstybės biudžeto – 663402,73 Eur.</w:t>
      </w:r>
    </w:p>
    <w:p w14:paraId="4E83EBFA" w14:textId="01270CA8" w:rsidR="007C5A5B" w:rsidRPr="00FE41BE" w:rsidDel="73A97703" w:rsidRDefault="00FE41BE" w:rsidP="008B15C6">
      <w:pPr>
        <w:spacing w:after="0"/>
        <w:contextualSpacing/>
        <w:jc w:val="both"/>
      </w:pPr>
      <w:r>
        <w:rPr>
          <w:rFonts w:ascii="Times New Roman" w:eastAsia="Times New Roman" w:hAnsi="Times New Roman" w:cs="Times New Roman"/>
          <w:b/>
          <w:bCs/>
          <w:sz w:val="24"/>
          <w:szCs w:val="24"/>
        </w:rPr>
        <w:t xml:space="preserve"> </w:t>
      </w:r>
      <w:r w:rsidR="006F6779">
        <w:rPr>
          <w:rFonts w:ascii="Times New Roman" w:eastAsia="Times New Roman" w:hAnsi="Times New Roman" w:cs="Times New Roman"/>
          <w:sz w:val="24"/>
          <w:szCs w:val="24"/>
        </w:rPr>
        <w:t>P</w:t>
      </w:r>
      <w:r w:rsidR="2F247D6F" w:rsidRPr="00CB7BE8">
        <w:rPr>
          <w:rFonts w:ascii="Times New Roman" w:eastAsia="Times New Roman" w:hAnsi="Times New Roman" w:cs="Times New Roman"/>
          <w:sz w:val="24"/>
          <w:szCs w:val="24"/>
        </w:rPr>
        <w:t>inigų srautų ataskaitoje kitas įplaukas (106180,57 Eur) sudaro:</w:t>
      </w:r>
    </w:p>
    <w:p w14:paraId="63861A98" w14:textId="5BDD18DB" w:rsidR="007C5A5B" w:rsidRPr="00F55D04" w:rsidDel="73A97703" w:rsidRDefault="2F247D6F" w:rsidP="008B15C6">
      <w:pPr>
        <w:pStyle w:val="Sraopastraipa"/>
        <w:spacing w:after="0"/>
        <w:jc w:val="both"/>
      </w:pPr>
      <w:r w:rsidRPr="00CB7BE8">
        <w:rPr>
          <w:rFonts w:ascii="Times New Roman" w:eastAsia="Times New Roman" w:hAnsi="Times New Roman" w:cs="Times New Roman"/>
          <w:sz w:val="24"/>
          <w:szCs w:val="24"/>
        </w:rPr>
        <w:t>Lėšos už PSDF biudžetui padarytą žalą – 98915,81 Eur;</w:t>
      </w:r>
    </w:p>
    <w:p w14:paraId="31151500" w14:textId="43E42743" w:rsidR="007C5A5B" w:rsidRPr="00CB7BE8" w:rsidRDefault="2F247D6F" w:rsidP="008B15C6">
      <w:pPr>
        <w:pStyle w:val="Sraopastraipa"/>
        <w:spacing w:after="0"/>
        <w:jc w:val="both"/>
      </w:pPr>
      <w:r w:rsidRPr="00CB7BE8">
        <w:rPr>
          <w:rFonts w:ascii="Times New Roman" w:eastAsia="Times New Roman" w:hAnsi="Times New Roman" w:cs="Times New Roman"/>
          <w:sz w:val="24"/>
          <w:szCs w:val="24"/>
        </w:rPr>
        <w:t>Lėšos grįžusios į banką, dėl neteisingai nurodytų atsiskaitomųjų sąskaitų – 7264,76 Eur.</w:t>
      </w:r>
    </w:p>
    <w:p w14:paraId="34049318" w14:textId="1385753E" w:rsidR="006F6779" w:rsidRDefault="00FE41BE" w:rsidP="008B15C6">
      <w:pPr>
        <w:spacing w:after="0"/>
        <w:contextualSpacing/>
        <w:jc w:val="both"/>
        <w:rPr>
          <w:rFonts w:ascii="Times New Roman" w:eastAsia="Times New Roman" w:hAnsi="Times New Roman" w:cs="Times New Roman"/>
          <w:sz w:val="24"/>
          <w:szCs w:val="24"/>
        </w:rPr>
      </w:pPr>
      <w:r w:rsidRPr="00CB7BE8">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1</w:t>
      </w:r>
      <w:r w:rsidRPr="00CB7BE8">
        <w:rPr>
          <w:rFonts w:ascii="Times New Roman" w:eastAsia="Times New Roman" w:hAnsi="Times New Roman" w:cs="Times New Roman"/>
          <w:b/>
          <w:sz w:val="24"/>
          <w:szCs w:val="24"/>
        </w:rPr>
        <w:t xml:space="preserve"> pastaba. </w:t>
      </w:r>
      <w:r w:rsidRPr="00CB7BE8">
        <w:rPr>
          <w:rFonts w:ascii="Times New Roman" w:eastAsia="Times New Roman" w:hAnsi="Times New Roman" w:cs="Times New Roman"/>
          <w:sz w:val="24"/>
          <w:szCs w:val="24"/>
        </w:rPr>
        <w:t>Pervestos lėšos</w:t>
      </w:r>
      <w:r>
        <w:rPr>
          <w:rFonts w:ascii="Times New Roman" w:eastAsia="Times New Roman" w:hAnsi="Times New Roman" w:cs="Times New Roman"/>
          <w:sz w:val="24"/>
          <w:szCs w:val="24"/>
        </w:rPr>
        <w:t xml:space="preserve"> -14</w:t>
      </w:r>
      <w:r w:rsidR="00E902FD">
        <w:rPr>
          <w:rFonts w:ascii="Times New Roman" w:eastAsia="Times New Roman" w:hAnsi="Times New Roman" w:cs="Times New Roman"/>
          <w:sz w:val="24"/>
          <w:szCs w:val="24"/>
        </w:rPr>
        <w:t>78459,96</w:t>
      </w:r>
      <w:r>
        <w:rPr>
          <w:rFonts w:ascii="Times New Roman" w:eastAsia="Times New Roman" w:hAnsi="Times New Roman" w:cs="Times New Roman"/>
          <w:sz w:val="24"/>
          <w:szCs w:val="24"/>
        </w:rPr>
        <w:t xml:space="preserve"> Eur</w:t>
      </w:r>
      <w:r w:rsidR="00B2414A">
        <w:rPr>
          <w:rFonts w:ascii="Times New Roman" w:eastAsia="Times New Roman" w:hAnsi="Times New Roman" w:cs="Times New Roman"/>
          <w:sz w:val="24"/>
          <w:szCs w:val="24"/>
        </w:rPr>
        <w:t>, tai p</w:t>
      </w:r>
      <w:r w:rsidR="2F247D6F" w:rsidRPr="00CB7BE8">
        <w:rPr>
          <w:rFonts w:ascii="Times New Roman" w:eastAsia="Times New Roman" w:hAnsi="Times New Roman" w:cs="Times New Roman"/>
          <w:sz w:val="24"/>
          <w:szCs w:val="24"/>
        </w:rPr>
        <w:t>ervestos lėšos į kitus išteklių fondus – 42359,96 Eur,</w:t>
      </w:r>
      <w:r w:rsidR="2F247D6F" w:rsidRPr="00CB7BE8">
        <w:rPr>
          <w:rFonts w:ascii="Times New Roman" w:eastAsia="Times New Roman" w:hAnsi="Times New Roman" w:cs="Times New Roman"/>
          <w:b/>
          <w:i/>
          <w:sz w:val="24"/>
          <w:szCs w:val="24"/>
        </w:rPr>
        <w:t xml:space="preserve"> </w:t>
      </w:r>
      <w:r w:rsidR="2F247D6F" w:rsidRPr="00CB7BE8">
        <w:rPr>
          <w:rFonts w:ascii="Times New Roman" w:eastAsia="Times New Roman" w:hAnsi="Times New Roman" w:cs="Times New Roman"/>
          <w:sz w:val="24"/>
          <w:szCs w:val="24"/>
        </w:rPr>
        <w:t>pervesta Kauno TLK iš įstaigų surinkta suma už ASPĮ neteisingai išrašytus vaistus ir MPP.</w:t>
      </w:r>
      <w:r w:rsidR="006F6779">
        <w:rPr>
          <w:rFonts w:ascii="Times New Roman" w:eastAsia="Times New Roman" w:hAnsi="Times New Roman" w:cs="Times New Roman"/>
          <w:sz w:val="24"/>
          <w:szCs w:val="24"/>
        </w:rPr>
        <w:t xml:space="preserve"> </w:t>
      </w:r>
      <w:r w:rsidR="2F247D6F" w:rsidRPr="00CB7BE8">
        <w:rPr>
          <w:rFonts w:ascii="Times New Roman" w:eastAsia="Times New Roman" w:hAnsi="Times New Roman" w:cs="Times New Roman"/>
          <w:sz w:val="24"/>
          <w:szCs w:val="24"/>
        </w:rPr>
        <w:t>Viešojo sektoriaus subjektams, sveikatos programų vykdytojams, Skubios konsultacinės sveikatos priežiūros pagalbai ASPĮ - 1436100,00 Eur.</w:t>
      </w:r>
      <w:r w:rsidR="006F6779">
        <w:rPr>
          <w:rFonts w:ascii="Times New Roman" w:eastAsia="Times New Roman" w:hAnsi="Times New Roman" w:cs="Times New Roman"/>
          <w:sz w:val="24"/>
          <w:szCs w:val="24"/>
        </w:rPr>
        <w:t xml:space="preserve"> </w:t>
      </w:r>
    </w:p>
    <w:p w14:paraId="55F8086D" w14:textId="463289FF" w:rsidR="00CB7BE8" w:rsidRDefault="006F6779" w:rsidP="008B15C6">
      <w:pPr>
        <w:spacing w:after="0"/>
        <w:contextualSpacing/>
        <w:jc w:val="both"/>
        <w:rPr>
          <w:rFonts w:ascii="Times New Roman" w:eastAsia="Times New Roman" w:hAnsi="Times New Roman" w:cs="Times New Roman"/>
          <w:sz w:val="24"/>
          <w:szCs w:val="24"/>
        </w:rPr>
      </w:pPr>
      <w:r w:rsidRPr="001C4BB8">
        <w:rPr>
          <w:rFonts w:ascii="Times New Roman" w:eastAsia="Times New Roman" w:hAnsi="Times New Roman" w:cs="Times New Roman"/>
          <w:b/>
          <w:bCs/>
          <w:sz w:val="24"/>
          <w:szCs w:val="24"/>
        </w:rPr>
        <w:t xml:space="preserve">12 pastaba. </w:t>
      </w:r>
      <w:r w:rsidRPr="001C4BB8">
        <w:rPr>
          <w:rFonts w:ascii="Times New Roman" w:eastAsia="Times New Roman" w:hAnsi="Times New Roman" w:cs="Times New Roman"/>
          <w:sz w:val="24"/>
          <w:szCs w:val="24"/>
        </w:rPr>
        <w:t>Išmokos</w:t>
      </w:r>
      <w:r>
        <w:rPr>
          <w:rFonts w:ascii="Times New Roman" w:eastAsia="Times New Roman" w:hAnsi="Times New Roman" w:cs="Times New Roman"/>
          <w:sz w:val="24"/>
          <w:szCs w:val="24"/>
        </w:rPr>
        <w:t xml:space="preserve"> –</w:t>
      </w:r>
      <w:r w:rsidR="00E902FD">
        <w:rPr>
          <w:rFonts w:ascii="Times New Roman" w:eastAsia="Times New Roman" w:hAnsi="Times New Roman" w:cs="Times New Roman"/>
          <w:sz w:val="24"/>
          <w:szCs w:val="24"/>
        </w:rPr>
        <w:t xml:space="preserve"> 202191026,94 Eur, tai: </w:t>
      </w:r>
      <w:r>
        <w:rPr>
          <w:rFonts w:ascii="Times New Roman" w:eastAsia="Times New Roman" w:hAnsi="Times New Roman" w:cs="Times New Roman"/>
          <w:sz w:val="24"/>
          <w:szCs w:val="24"/>
        </w:rPr>
        <w:t>202183762,18 Eur</w:t>
      </w:r>
      <w:r w:rsidR="00A54E1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ocialinėms išmok</w:t>
      </w:r>
      <w:r w:rsidR="001F631A">
        <w:rPr>
          <w:rFonts w:ascii="Times New Roman" w:eastAsia="Times New Roman" w:hAnsi="Times New Roman" w:cs="Times New Roman"/>
          <w:sz w:val="24"/>
          <w:szCs w:val="24"/>
        </w:rPr>
        <w:t>oms</w:t>
      </w:r>
      <w:r w:rsidR="00E902FD">
        <w:rPr>
          <w:rFonts w:ascii="Times New Roman" w:eastAsia="Times New Roman" w:hAnsi="Times New Roman" w:cs="Times New Roman"/>
          <w:sz w:val="24"/>
          <w:szCs w:val="24"/>
        </w:rPr>
        <w:t xml:space="preserve">; 7264,76 Eur. </w:t>
      </w:r>
      <w:r w:rsidRPr="001C4BB8">
        <w:rPr>
          <w:rFonts w:ascii="Times New Roman" w:eastAsia="Times New Roman" w:hAnsi="Times New Roman" w:cs="Times New Roman"/>
          <w:sz w:val="24"/>
          <w:szCs w:val="24"/>
        </w:rPr>
        <w:t>Išmokos</w:t>
      </w:r>
      <w:r>
        <w:rPr>
          <w:rFonts w:ascii="Times New Roman" w:eastAsia="Times New Roman" w:hAnsi="Times New Roman" w:cs="Times New Roman"/>
          <w:sz w:val="24"/>
          <w:szCs w:val="24"/>
        </w:rPr>
        <w:t xml:space="preserve"> –</w:t>
      </w:r>
      <w:r w:rsidR="00E902FD">
        <w:rPr>
          <w:rFonts w:ascii="Times New Roman" w:eastAsia="Times New Roman" w:hAnsi="Times New Roman" w:cs="Times New Roman"/>
          <w:sz w:val="24"/>
          <w:szCs w:val="24"/>
        </w:rPr>
        <w:t xml:space="preserve"> 202191026,94 Eur, tai:</w:t>
      </w:r>
      <w:r>
        <w:rPr>
          <w:rFonts w:ascii="Times New Roman" w:eastAsia="Times New Roman" w:hAnsi="Times New Roman" w:cs="Times New Roman"/>
          <w:sz w:val="24"/>
          <w:szCs w:val="24"/>
        </w:rPr>
        <w:t xml:space="preserve"> 202183762,18 Eur</w:t>
      </w:r>
      <w:r w:rsidR="00A54E1D">
        <w:rPr>
          <w:rFonts w:ascii="Times New Roman" w:eastAsia="Times New Roman" w:hAnsi="Times New Roman" w:cs="Times New Roman"/>
          <w:sz w:val="24"/>
          <w:szCs w:val="24"/>
        </w:rPr>
        <w:t xml:space="preserve"> </w:t>
      </w:r>
      <w:r w:rsidR="00AF2A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54E1D">
        <w:rPr>
          <w:rFonts w:ascii="Times New Roman" w:eastAsia="Times New Roman" w:hAnsi="Times New Roman" w:cs="Times New Roman"/>
          <w:sz w:val="24"/>
          <w:szCs w:val="24"/>
        </w:rPr>
        <w:t>s</w:t>
      </w:r>
      <w:r>
        <w:rPr>
          <w:rFonts w:ascii="Times New Roman" w:eastAsia="Times New Roman" w:hAnsi="Times New Roman" w:cs="Times New Roman"/>
          <w:sz w:val="24"/>
          <w:szCs w:val="24"/>
        </w:rPr>
        <w:t>ocialinės išmok</w:t>
      </w:r>
      <w:r w:rsidR="001F631A">
        <w:rPr>
          <w:rFonts w:ascii="Times New Roman" w:eastAsia="Times New Roman" w:hAnsi="Times New Roman" w:cs="Times New Roman"/>
          <w:sz w:val="24"/>
          <w:szCs w:val="24"/>
        </w:rPr>
        <w:t>os</w:t>
      </w:r>
      <w:r w:rsidR="00E902FD">
        <w:rPr>
          <w:rFonts w:ascii="Times New Roman" w:eastAsia="Times New Roman" w:hAnsi="Times New Roman" w:cs="Times New Roman"/>
          <w:sz w:val="24"/>
          <w:szCs w:val="24"/>
        </w:rPr>
        <w:t xml:space="preserve">; 7264,76 Eur </w:t>
      </w:r>
      <w:r w:rsidR="00AF2A84">
        <w:rPr>
          <w:rFonts w:ascii="Times New Roman" w:eastAsia="Times New Roman" w:hAnsi="Times New Roman" w:cs="Times New Roman"/>
          <w:sz w:val="24"/>
          <w:szCs w:val="24"/>
        </w:rPr>
        <w:t>– kitos išmokos</w:t>
      </w:r>
      <w:r w:rsidR="00111146">
        <w:rPr>
          <w:rFonts w:ascii="Times New Roman" w:eastAsia="Times New Roman" w:hAnsi="Times New Roman" w:cs="Times New Roman"/>
          <w:sz w:val="24"/>
          <w:szCs w:val="24"/>
        </w:rPr>
        <w:t xml:space="preserve"> -</w:t>
      </w:r>
      <w:r w:rsidR="00E902FD">
        <w:rPr>
          <w:rFonts w:ascii="Times New Roman" w:eastAsia="Times New Roman" w:hAnsi="Times New Roman" w:cs="Times New Roman"/>
          <w:sz w:val="24"/>
          <w:szCs w:val="24"/>
        </w:rPr>
        <w:t xml:space="preserve"> </w:t>
      </w:r>
      <w:r w:rsidR="00E902FD" w:rsidRPr="001B502F">
        <w:rPr>
          <w:rFonts w:ascii="Times New Roman" w:eastAsia="Times New Roman" w:hAnsi="Times New Roman" w:cs="Times New Roman"/>
          <w:sz w:val="24"/>
          <w:szCs w:val="24"/>
        </w:rPr>
        <w:t>pakartotinai</w:t>
      </w:r>
      <w:r w:rsidR="00E902FD" w:rsidRPr="001B502F">
        <w:rPr>
          <w:rFonts w:ascii="Times New Roman" w:eastAsia="Times New Roman" w:hAnsi="Times New Roman" w:cs="Times New Roman"/>
          <w:b/>
          <w:bCs/>
          <w:i/>
          <w:iCs/>
          <w:sz w:val="24"/>
          <w:szCs w:val="24"/>
        </w:rPr>
        <w:t xml:space="preserve"> </w:t>
      </w:r>
      <w:r w:rsidR="00E902FD" w:rsidRPr="001B502F">
        <w:rPr>
          <w:rFonts w:ascii="Times New Roman" w:eastAsia="Times New Roman" w:hAnsi="Times New Roman" w:cs="Times New Roman"/>
          <w:sz w:val="24"/>
          <w:szCs w:val="24"/>
        </w:rPr>
        <w:t>pervesta paslaugų teikėjams (dėl neteisingai nurodytų atsiskaitomųjų sąskaitų)</w:t>
      </w:r>
      <w:r w:rsidR="00CB7BE8">
        <w:rPr>
          <w:rFonts w:ascii="Times New Roman" w:eastAsia="Times New Roman" w:hAnsi="Times New Roman" w:cs="Times New Roman"/>
          <w:sz w:val="24"/>
          <w:szCs w:val="24"/>
        </w:rPr>
        <w:t>.</w:t>
      </w:r>
    </w:p>
    <w:p w14:paraId="39EF6594" w14:textId="77777777" w:rsidR="00364F80" w:rsidRDefault="00364F80" w:rsidP="00364F80">
      <w:pPr>
        <w:spacing w:after="0"/>
        <w:contextualSpacing/>
        <w:jc w:val="both"/>
        <w:rPr>
          <w:rFonts w:ascii="Times New Roman" w:eastAsia="Times New Roman" w:hAnsi="Times New Roman" w:cs="Times New Roman"/>
          <w:sz w:val="24"/>
          <w:szCs w:val="24"/>
        </w:rPr>
      </w:pPr>
    </w:p>
    <w:p w14:paraId="0C69538F" w14:textId="78704C8B" w:rsidR="007C5A5B" w:rsidRPr="00F55D04" w:rsidDel="73A97703" w:rsidRDefault="00E902FD" w:rsidP="00F211CB">
      <w:pPr>
        <w:jc w:val="both"/>
      </w:pPr>
      <w:r w:rsidRPr="001B502F">
        <w:rPr>
          <w:rFonts w:ascii="Times New Roman" w:eastAsia="Times New Roman" w:hAnsi="Times New Roman" w:cs="Times New Roman"/>
          <w:sz w:val="24"/>
          <w:szCs w:val="24"/>
        </w:rPr>
        <w:t xml:space="preserve"> </w:t>
      </w:r>
      <w:r w:rsidRPr="00E902FD" w:rsidDel="73A97703">
        <w:rPr>
          <w:b/>
          <w:bCs/>
        </w:rPr>
        <w:t xml:space="preserve"> </w:t>
      </w:r>
      <w:r w:rsidR="2F247D6F" w:rsidRPr="00F211CB">
        <w:rPr>
          <w:rFonts w:ascii="Times New Roman" w:eastAsia="Times New Roman" w:hAnsi="Times New Roman" w:cs="Times New Roman"/>
          <w:b/>
          <w:sz w:val="24"/>
          <w:szCs w:val="24"/>
        </w:rPr>
        <w:t>Nebalansinių sąskaitų likutis – ataskaitinio laikotarpio pabaigoje:</w:t>
      </w:r>
    </w:p>
    <w:p w14:paraId="4FBA4816" w14:textId="0EAE9521" w:rsidR="007C5A5B" w:rsidRPr="00F55D04" w:rsidDel="73A97703" w:rsidRDefault="2F247D6F" w:rsidP="00364F80">
      <w:pPr>
        <w:spacing w:after="0"/>
        <w:ind w:firstLine="720"/>
        <w:contextualSpacing/>
        <w:jc w:val="both"/>
      </w:pPr>
      <w:r w:rsidRPr="00F211CB">
        <w:rPr>
          <w:rFonts w:ascii="Times New Roman" w:eastAsia="Times New Roman" w:hAnsi="Times New Roman" w:cs="Times New Roman"/>
          <w:sz w:val="24"/>
          <w:szCs w:val="24"/>
        </w:rPr>
        <w:t>Neapibrėžti trumpalaikiai įsipareigojimai – 219114,96 Eur, tai kompensacijos fiziniams asmenims, kurie protezavosi dantis savo lėšomis, tačiau atėjus eilei gauti kompensaciją buvo mirę, o paveldėtojų nėra arba jie nesikreipė dėl lėšų gavimo. Per ataskaitinį laikotarpį kreipėsi 1 paveldėtojas, kuriam išmokėta 364,92 Eur.</w:t>
      </w:r>
    </w:p>
    <w:p w14:paraId="568866C5" w14:textId="78BBDEC4" w:rsidR="00F17320" w:rsidRPr="00BC24A6" w:rsidRDefault="2F247D6F" w:rsidP="00F17320">
      <w:pPr>
        <w:spacing w:after="0" w:line="240" w:lineRule="auto"/>
        <w:ind w:firstLine="720"/>
        <w:contextualSpacing/>
        <w:jc w:val="both"/>
        <w:rPr>
          <w:rFonts w:ascii="Times New Roman" w:eastAsia="Times New Roman" w:hAnsi="Times New Roman" w:cs="Times New Roman"/>
          <w:color w:val="EE0000"/>
          <w:kern w:val="0"/>
          <w:sz w:val="20"/>
          <w:szCs w:val="20"/>
          <w:lang w:eastAsia="lt-LT"/>
          <w14:ligatures w14:val="none"/>
        </w:rPr>
      </w:pPr>
      <w:r w:rsidRPr="00F211CB">
        <w:rPr>
          <w:rFonts w:ascii="Times New Roman" w:eastAsia="Times New Roman" w:hAnsi="Times New Roman" w:cs="Times New Roman"/>
          <w:sz w:val="24"/>
          <w:szCs w:val="24"/>
        </w:rPr>
        <w:t xml:space="preserve">Trumpalaikės išieškotinos sumos už žalą apdraustojo sveikatai – 459839,72 Eur tai žalos, kurių ASPĮ nesutinka mokėti. </w:t>
      </w:r>
      <w:r w:rsidR="001C4BB8">
        <w:rPr>
          <w:rFonts w:ascii="Times New Roman" w:eastAsia="Times New Roman" w:hAnsi="Times New Roman" w:cs="Times New Roman"/>
          <w:sz w:val="24"/>
          <w:szCs w:val="24"/>
        </w:rPr>
        <w:t xml:space="preserve">Šios žalos priskaitytos per 2024 metus. 2024 12 31 trumpalaikių išieškotinų sumų buvo 494453,44 Eur. 2025 m. kovo mėn. UAB </w:t>
      </w:r>
      <w:r w:rsidR="00BE78EB" w:rsidRPr="008A3EEE">
        <w:rPr>
          <w:rFonts w:ascii="Times New Roman" w:eastAsia="Times New Roman" w:hAnsi="Times New Roman" w:cs="Times New Roman"/>
          <w:sz w:val="24"/>
          <w:szCs w:val="24"/>
        </w:rPr>
        <w:t>„</w:t>
      </w:r>
      <w:proofErr w:type="spellStart"/>
      <w:r w:rsidR="001C4BB8">
        <w:rPr>
          <w:rFonts w:ascii="Times New Roman" w:eastAsia="Times New Roman" w:hAnsi="Times New Roman" w:cs="Times New Roman"/>
          <w:sz w:val="24"/>
          <w:szCs w:val="24"/>
        </w:rPr>
        <w:t>Salumeda</w:t>
      </w:r>
      <w:proofErr w:type="spellEnd"/>
      <w:r w:rsidR="00BE78EB" w:rsidRPr="008A3EEE">
        <w:rPr>
          <w:rFonts w:ascii="Times New Roman" w:eastAsia="Times New Roman" w:hAnsi="Times New Roman" w:cs="Times New Roman"/>
          <w:sz w:val="24"/>
          <w:szCs w:val="24"/>
        </w:rPr>
        <w:t>“</w:t>
      </w:r>
      <w:r w:rsidR="001C4BB8">
        <w:rPr>
          <w:rFonts w:ascii="Times New Roman" w:eastAsia="Times New Roman" w:hAnsi="Times New Roman" w:cs="Times New Roman"/>
          <w:sz w:val="24"/>
          <w:szCs w:val="24"/>
        </w:rPr>
        <w:t xml:space="preserve"> sutiko su priskaityta 34613,72 Eur žala, tai ši suma iš nebal</w:t>
      </w:r>
      <w:r w:rsidR="00F17320">
        <w:rPr>
          <w:rFonts w:ascii="Times New Roman" w:eastAsia="Times New Roman" w:hAnsi="Times New Roman" w:cs="Times New Roman"/>
          <w:sz w:val="24"/>
          <w:szCs w:val="24"/>
        </w:rPr>
        <w:t>a</w:t>
      </w:r>
      <w:r w:rsidR="001C4BB8">
        <w:rPr>
          <w:rFonts w:ascii="Times New Roman" w:eastAsia="Times New Roman" w:hAnsi="Times New Roman" w:cs="Times New Roman"/>
          <w:sz w:val="24"/>
          <w:szCs w:val="24"/>
        </w:rPr>
        <w:t>nsinės sąskaitos perkelta į balansinę sąskaitą</w:t>
      </w:r>
      <w:r w:rsidR="00F17320">
        <w:rPr>
          <w:rFonts w:ascii="Times New Roman" w:eastAsia="Times New Roman" w:hAnsi="Times New Roman" w:cs="Times New Roman"/>
          <w:sz w:val="24"/>
          <w:szCs w:val="24"/>
        </w:rPr>
        <w:t xml:space="preserve"> 229310100</w:t>
      </w:r>
      <w:r w:rsidR="003B3AB2">
        <w:rPr>
          <w:rFonts w:ascii="Times New Roman" w:eastAsia="Times New Roman" w:hAnsi="Times New Roman" w:cs="Times New Roman"/>
          <w:sz w:val="24"/>
          <w:szCs w:val="24"/>
        </w:rPr>
        <w:t>.</w:t>
      </w:r>
    </w:p>
    <w:p w14:paraId="28CB1E63" w14:textId="2468323C" w:rsidR="00F17320" w:rsidRPr="00F55D04" w:rsidDel="73A97703" w:rsidRDefault="00F17320">
      <w:pPr>
        <w:ind w:firstLine="720"/>
        <w:jc w:val="both"/>
      </w:pPr>
    </w:p>
    <w:p w14:paraId="6DFAB071" w14:textId="22C5C3C7" w:rsidR="007C5A5B" w:rsidRPr="00F55D04" w:rsidDel="73A97703" w:rsidRDefault="2F247D6F" w:rsidP="00F211CB">
      <w:pPr>
        <w:jc w:val="both"/>
      </w:pPr>
      <w:r w:rsidRPr="00F211CB">
        <w:rPr>
          <w:rFonts w:ascii="Times New Roman" w:eastAsia="Times New Roman" w:hAnsi="Times New Roman" w:cs="Times New Roman"/>
          <w:sz w:val="24"/>
          <w:szCs w:val="24"/>
        </w:rPr>
        <w:t xml:space="preserve"> </w:t>
      </w:r>
    </w:p>
    <w:p w14:paraId="277B8440" w14:textId="7E8AFB53" w:rsidR="007C5A5B" w:rsidRPr="00F55D04" w:rsidDel="73A97703" w:rsidRDefault="2F247D6F" w:rsidP="00F211CB">
      <w:pPr>
        <w:jc w:val="both"/>
      </w:pPr>
      <w:r w:rsidRPr="00F211CB">
        <w:rPr>
          <w:rFonts w:ascii="Times New Roman" w:eastAsia="Times New Roman" w:hAnsi="Times New Roman" w:cs="Times New Roman"/>
          <w:sz w:val="24"/>
          <w:szCs w:val="24"/>
        </w:rPr>
        <w:t>Direktorius                                                                                                               Gytis Bendorius</w:t>
      </w:r>
    </w:p>
    <w:p w14:paraId="112B29CA" w14:textId="33710EBD" w:rsidR="007C5A5B" w:rsidRPr="00F55D04" w:rsidDel="73A97703" w:rsidRDefault="2F247D6F" w:rsidP="00F211CB">
      <w:pPr>
        <w:jc w:val="both"/>
      </w:pPr>
      <w:r w:rsidRPr="00F211CB">
        <w:rPr>
          <w:rFonts w:ascii="Times New Roman" w:eastAsia="Times New Roman" w:hAnsi="Times New Roman" w:cs="Times New Roman"/>
          <w:sz w:val="24"/>
          <w:szCs w:val="24"/>
        </w:rPr>
        <w:t xml:space="preserve"> </w:t>
      </w:r>
    </w:p>
    <w:p w14:paraId="2CB053CB" w14:textId="5567F410" w:rsidR="007C5A5B" w:rsidRPr="00F55D04" w:rsidDel="73A97703" w:rsidRDefault="2F247D6F" w:rsidP="00F211CB">
      <w:pPr>
        <w:jc w:val="both"/>
      </w:pPr>
      <w:r w:rsidRPr="00F211CB">
        <w:rPr>
          <w:rFonts w:ascii="Times New Roman" w:eastAsia="Times New Roman" w:hAnsi="Times New Roman" w:cs="Times New Roman"/>
          <w:sz w:val="24"/>
          <w:szCs w:val="24"/>
        </w:rPr>
        <w:t xml:space="preserve"> </w:t>
      </w:r>
    </w:p>
    <w:p w14:paraId="16B63F3F" w14:textId="55413B3C" w:rsidR="007C5A5B" w:rsidRPr="00F55D04" w:rsidDel="73A97703" w:rsidRDefault="2F247D6F" w:rsidP="00F211CB">
      <w:pPr>
        <w:jc w:val="both"/>
      </w:pPr>
      <w:r w:rsidRPr="00F211CB">
        <w:rPr>
          <w:rFonts w:ascii="Times New Roman" w:eastAsia="Times New Roman" w:hAnsi="Times New Roman" w:cs="Times New Roman"/>
          <w:sz w:val="24"/>
          <w:szCs w:val="24"/>
        </w:rPr>
        <w:t xml:space="preserve"> </w:t>
      </w:r>
    </w:p>
    <w:p w14:paraId="390C5334" w14:textId="607D12C4" w:rsidR="007C5A5B" w:rsidRPr="00F55D04" w:rsidDel="73A97703" w:rsidRDefault="2F247D6F" w:rsidP="00F211CB">
      <w:pPr>
        <w:jc w:val="both"/>
      </w:pPr>
      <w:r w:rsidRPr="00F211CB">
        <w:rPr>
          <w:rFonts w:ascii="Times New Roman" w:eastAsia="Times New Roman" w:hAnsi="Times New Roman" w:cs="Times New Roman"/>
          <w:sz w:val="24"/>
          <w:szCs w:val="24"/>
        </w:rPr>
        <w:t>Ekonomikos departamento Finansų ir apskaitos skyriaus vedėjas                          Visvaldas Vilkas</w:t>
      </w:r>
    </w:p>
    <w:bookmarkEnd w:id="3"/>
    <w:p w14:paraId="5896A276" w14:textId="239780DF" w:rsidR="007C5A5B" w:rsidRPr="00F211CB" w:rsidRDefault="007C5A5B" w:rsidP="008B15C6">
      <w:pPr>
        <w:jc w:val="both"/>
        <w:rPr>
          <w:rFonts w:ascii="Times New Roman" w:hAnsi="Times New Roman" w:cs="Times New Roman"/>
          <w:sz w:val="24"/>
          <w:szCs w:val="24"/>
        </w:rPr>
      </w:pPr>
    </w:p>
    <w:sectPr w:rsidR="007C5A5B" w:rsidRPr="00F211CB" w:rsidSect="00CD2148">
      <w:footerReference w:type="default" r:id="rId8"/>
      <w:footerReference w:type="firs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B0EE" w14:textId="77777777" w:rsidR="00B173FD" w:rsidRDefault="00B173FD" w:rsidP="00A93270">
      <w:pPr>
        <w:spacing w:after="0" w:line="240" w:lineRule="auto"/>
      </w:pPr>
      <w:r>
        <w:separator/>
      </w:r>
    </w:p>
  </w:endnote>
  <w:endnote w:type="continuationSeparator" w:id="0">
    <w:p w14:paraId="2B4335F7" w14:textId="77777777" w:rsidR="00B173FD" w:rsidRDefault="00B173FD" w:rsidP="00A9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11587"/>
      <w:docPartObj>
        <w:docPartGallery w:val="Page Numbers (Bottom of Page)"/>
        <w:docPartUnique/>
      </w:docPartObj>
    </w:sdtPr>
    <w:sdtEndPr/>
    <w:sdtContent>
      <w:p w14:paraId="0F7BC361" w14:textId="77777777" w:rsidR="00A93270" w:rsidRDefault="00A93270">
        <w:pPr>
          <w:pStyle w:val="Porat"/>
          <w:jc w:val="center"/>
        </w:pPr>
        <w:r>
          <w:fldChar w:fldCharType="begin"/>
        </w:r>
        <w:r>
          <w:instrText>PAGE   \* MERGEFORMAT</w:instrText>
        </w:r>
        <w:r>
          <w:fldChar w:fldCharType="separate"/>
        </w:r>
        <w:r>
          <w:t>2</w:t>
        </w:r>
        <w:r>
          <w:fldChar w:fldCharType="end"/>
        </w:r>
      </w:p>
    </w:sdtContent>
  </w:sdt>
  <w:p w14:paraId="1A030ABA" w14:textId="77777777" w:rsidR="00A93270" w:rsidRDefault="00A932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7" w:type="dxa"/>
      <w:tblBorders>
        <w:top w:val="single" w:sz="4" w:space="0" w:color="000000"/>
      </w:tblBorders>
      <w:tblLayout w:type="fixed"/>
      <w:tblLook w:val="04A0" w:firstRow="1" w:lastRow="0" w:firstColumn="1" w:lastColumn="0" w:noHBand="0" w:noVBand="1"/>
    </w:tblPr>
    <w:tblGrid>
      <w:gridCol w:w="1824"/>
      <w:gridCol w:w="2247"/>
      <w:gridCol w:w="2528"/>
      <w:gridCol w:w="1543"/>
      <w:gridCol w:w="1685"/>
    </w:tblGrid>
    <w:tr w:rsidR="00A93270" w:rsidRPr="00131309" w14:paraId="0135FED2" w14:textId="77777777" w:rsidTr="007F1307">
      <w:trPr>
        <w:trHeight w:val="305"/>
      </w:trPr>
      <w:tc>
        <w:tcPr>
          <w:tcW w:w="1824" w:type="dxa"/>
          <w:tcBorders>
            <w:top w:val="single" w:sz="4" w:space="0" w:color="000000" w:themeColor="text1"/>
          </w:tcBorders>
        </w:tcPr>
        <w:p w14:paraId="1F547FAE"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Biudžetinė įstaiga</w:t>
          </w:r>
        </w:p>
        <w:p w14:paraId="07B2FDD9"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 xml:space="preserve">Europos aikštė 1, </w:t>
          </w:r>
        </w:p>
        <w:p w14:paraId="78C12AD2" w14:textId="77777777" w:rsidR="00A93270" w:rsidRPr="00131309" w:rsidRDefault="00A93270" w:rsidP="002816E4">
          <w:pPr>
            <w:spacing w:after="0" w:line="240" w:lineRule="auto"/>
            <w:rPr>
              <w:rFonts w:ascii="Times New Roman" w:eastAsia="Times New Roman" w:hAnsi="Times New Roman" w:cs="Times New Roman"/>
              <w:noProof/>
              <w:sz w:val="20"/>
              <w:szCs w:val="20"/>
            </w:rPr>
          </w:pPr>
          <w:r w:rsidRPr="007F1307">
            <w:rPr>
              <w:rFonts w:ascii="Times New Roman" w:eastAsia="Times New Roman" w:hAnsi="Times New Roman" w:cs="Times New Roman"/>
              <w:b/>
              <w:sz w:val="20"/>
              <w:szCs w:val="20"/>
              <w:lang w:val="es-ES"/>
            </w:rPr>
            <w:t>09308</w:t>
          </w:r>
          <w:r w:rsidRPr="00131309">
            <w:rPr>
              <w:rFonts w:ascii="Times New Roman" w:eastAsia="Times New Roman" w:hAnsi="Times New Roman" w:cs="Times New Roman"/>
              <w:noProof/>
              <w:sz w:val="20"/>
              <w:szCs w:val="20"/>
            </w:rPr>
            <w:t xml:space="preserve"> Vilnius</w:t>
          </w:r>
        </w:p>
      </w:tc>
      <w:tc>
        <w:tcPr>
          <w:tcW w:w="2247" w:type="dxa"/>
          <w:tcBorders>
            <w:top w:val="single" w:sz="4" w:space="0" w:color="000000" w:themeColor="text1"/>
          </w:tcBorders>
        </w:tcPr>
        <w:p w14:paraId="2594B4F3" w14:textId="77777777" w:rsidR="00A93270" w:rsidRPr="00131309" w:rsidRDefault="00A93270" w:rsidP="002816E4">
          <w:pPr>
            <w:tabs>
              <w:tab w:val="center" w:pos="4819"/>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Tel. +370 5 232 2222</w:t>
          </w:r>
        </w:p>
        <w:p w14:paraId="54EE8F17" w14:textId="77777777" w:rsidR="00A93270" w:rsidRPr="00131309" w:rsidRDefault="00A93270" w:rsidP="002816E4">
          <w:pPr>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El. p. vlk@vlk.lt</w:t>
          </w:r>
        </w:p>
        <w:p w14:paraId="5BD88AF2" w14:textId="7D6329A3" w:rsidR="00A93270" w:rsidRPr="00A93270" w:rsidRDefault="00A93270" w:rsidP="002816E4">
          <w:pPr>
            <w:spacing w:after="0" w:line="240" w:lineRule="auto"/>
            <w:rPr>
              <w:rFonts w:ascii="Times New Roman" w:eastAsia="Times New Roman" w:hAnsi="Times New Roman" w:cs="Times New Roman"/>
              <w:sz w:val="24"/>
              <w:szCs w:val="24"/>
              <w:lang w:val="en-US"/>
            </w:rPr>
          </w:pPr>
          <w:r w:rsidRPr="00131309">
            <w:rPr>
              <w:rFonts w:ascii="Times New Roman" w:eastAsia="Times New Roman" w:hAnsi="Times New Roman" w:cs="Times New Roman"/>
              <w:sz w:val="20"/>
              <w:szCs w:val="20"/>
              <w:lang w:val="en-US"/>
            </w:rPr>
            <w:t>https://ligoniukasa.lrv.lt/</w:t>
          </w:r>
        </w:p>
      </w:tc>
      <w:tc>
        <w:tcPr>
          <w:tcW w:w="2528" w:type="dxa"/>
          <w:tcBorders>
            <w:top w:val="single" w:sz="4" w:space="0" w:color="000000" w:themeColor="text1"/>
          </w:tcBorders>
        </w:tcPr>
        <w:p w14:paraId="7D02F5B6" w14:textId="77777777" w:rsidR="00F211CB" w:rsidRDefault="00A93270" w:rsidP="00A93270">
          <w:pPr>
            <w:tabs>
              <w:tab w:val="center" w:pos="4995"/>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Duomenys kaupiami ir saugomi Juridinių asmenų r</w:t>
          </w:r>
        </w:p>
        <w:p w14:paraId="2EBC5607" w14:textId="35EDC09C" w:rsidR="00A93270" w:rsidRPr="00131309" w:rsidRDefault="00A93270" w:rsidP="00A93270">
          <w:pPr>
            <w:tabs>
              <w:tab w:val="center" w:pos="4995"/>
              <w:tab w:val="right" w:pos="9638"/>
            </w:tabs>
            <w:spacing w:after="0" w:line="240" w:lineRule="auto"/>
            <w:rPr>
              <w:rFonts w:ascii="Times New Roman" w:eastAsia="Times New Roman" w:hAnsi="Times New Roman" w:cs="Times New Roman"/>
              <w:noProof/>
              <w:sz w:val="20"/>
              <w:szCs w:val="20"/>
            </w:rPr>
          </w:pPr>
          <w:r w:rsidRPr="00131309">
            <w:rPr>
              <w:rFonts w:ascii="Times New Roman" w:eastAsia="Times New Roman" w:hAnsi="Times New Roman" w:cs="Times New Roman"/>
              <w:noProof/>
              <w:sz w:val="20"/>
              <w:szCs w:val="20"/>
            </w:rPr>
            <w:t>egistre, kodas 191351679</w:t>
          </w:r>
        </w:p>
      </w:tc>
      <w:tc>
        <w:tcPr>
          <w:tcW w:w="1543" w:type="dxa"/>
          <w:tcBorders>
            <w:top w:val="single" w:sz="4" w:space="0" w:color="000000" w:themeColor="text1"/>
          </w:tcBorders>
        </w:tcPr>
        <w:p w14:paraId="0A3D1F97" w14:textId="77777777" w:rsidR="00A93270" w:rsidRPr="00131309" w:rsidRDefault="00A93270" w:rsidP="002816E4">
          <w:pPr>
            <w:spacing w:after="0" w:line="240" w:lineRule="auto"/>
            <w:jc w:val="right"/>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41B9ED38" wp14:editId="759C22C0">
                <wp:extent cx="839011" cy="438150"/>
                <wp:effectExtent l="0" t="0" r="0" b="0"/>
                <wp:docPr id="1959915701" name="Paveikslėlis 6"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aveikslėlis, kuriame yra žinutė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187" cy="438242"/>
                        </a:xfrm>
                        <a:prstGeom prst="rect">
                          <a:avLst/>
                        </a:prstGeom>
                        <a:noFill/>
                        <a:ln>
                          <a:noFill/>
                        </a:ln>
                      </pic:spPr>
                    </pic:pic>
                  </a:graphicData>
                </a:graphic>
              </wp:inline>
            </w:drawing>
          </w:r>
        </w:p>
      </w:tc>
      <w:tc>
        <w:tcPr>
          <w:tcW w:w="1685" w:type="dxa"/>
          <w:tcBorders>
            <w:top w:val="single" w:sz="4" w:space="0" w:color="000000" w:themeColor="text1"/>
          </w:tcBorders>
        </w:tcPr>
        <w:p w14:paraId="65F19D8C" w14:textId="77777777" w:rsidR="00A93270" w:rsidRPr="00131309" w:rsidRDefault="00A93270" w:rsidP="002816E4">
          <w:pPr>
            <w:spacing w:after="0" w:line="240" w:lineRule="auto"/>
            <w:rPr>
              <w:rFonts w:ascii="Times New Roman" w:eastAsia="Times New Roman" w:hAnsi="Times New Roman" w:cs="Times New Roman"/>
              <w:noProof/>
              <w:sz w:val="8"/>
              <w:szCs w:val="8"/>
              <w:lang w:eastAsia="lt-LT"/>
            </w:rPr>
          </w:pPr>
          <w:r w:rsidRPr="00131309">
            <w:rPr>
              <w:rFonts w:ascii="Times New Roman" w:eastAsia="Times New Roman" w:hAnsi="Times New Roman" w:cs="Times New Roman"/>
              <w:noProof/>
              <w:sz w:val="24"/>
              <w:szCs w:val="24"/>
              <w:lang w:eastAsia="lt-LT"/>
            </w:rPr>
            <w:drawing>
              <wp:inline distT="0" distB="0" distL="0" distR="0" wp14:anchorId="4D7A3AA6" wp14:editId="65E04B63">
                <wp:extent cx="820771" cy="428625"/>
                <wp:effectExtent l="0" t="0" r="0" b="0"/>
                <wp:docPr id="1000776945" name="Paveikslėlis 5" descr="Paveikslėlis, kuriame yra žinutė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Automatiškai sugeneruotas aprašym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122" cy="428808"/>
                        </a:xfrm>
                        <a:prstGeom prst="rect">
                          <a:avLst/>
                        </a:prstGeom>
                        <a:noFill/>
                        <a:ln>
                          <a:noFill/>
                        </a:ln>
                      </pic:spPr>
                    </pic:pic>
                  </a:graphicData>
                </a:graphic>
              </wp:inline>
            </w:drawing>
          </w:r>
        </w:p>
      </w:tc>
    </w:tr>
  </w:tbl>
  <w:p w14:paraId="0F7D748A" w14:textId="77777777" w:rsidR="00A93270" w:rsidRPr="002816E4" w:rsidRDefault="00A93270" w:rsidP="00281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F0DE" w14:textId="77777777" w:rsidR="00B173FD" w:rsidRDefault="00B173FD" w:rsidP="00A93270">
      <w:pPr>
        <w:spacing w:after="0" w:line="240" w:lineRule="auto"/>
      </w:pPr>
      <w:r>
        <w:separator/>
      </w:r>
    </w:p>
  </w:footnote>
  <w:footnote w:type="continuationSeparator" w:id="0">
    <w:p w14:paraId="5B44F5C3" w14:textId="77777777" w:rsidR="00B173FD" w:rsidRDefault="00B173FD" w:rsidP="00A93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8FC"/>
    <w:multiLevelType w:val="hybridMultilevel"/>
    <w:tmpl w:val="E85E1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AA31C8"/>
    <w:multiLevelType w:val="hybridMultilevel"/>
    <w:tmpl w:val="E266150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A32A20"/>
    <w:multiLevelType w:val="hybridMultilevel"/>
    <w:tmpl w:val="562C3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C11FA3"/>
    <w:multiLevelType w:val="hybridMultilevel"/>
    <w:tmpl w:val="B57A9AB2"/>
    <w:lvl w:ilvl="0" w:tplc="2A2E6B7C">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58BF5626"/>
    <w:multiLevelType w:val="hybridMultilevel"/>
    <w:tmpl w:val="7E9C892E"/>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A9F4807"/>
    <w:multiLevelType w:val="hybridMultilevel"/>
    <w:tmpl w:val="071C1A40"/>
    <w:lvl w:ilvl="0" w:tplc="72DA820A">
      <w:start w:val="1"/>
      <w:numFmt w:val="bullet"/>
      <w:lvlText w:val=""/>
      <w:lvlJc w:val="left"/>
      <w:pPr>
        <w:ind w:left="720" w:hanging="360"/>
      </w:pPr>
      <w:rPr>
        <w:rFonts w:ascii="Symbol" w:hAnsi="Symbol" w:hint="default"/>
      </w:rPr>
    </w:lvl>
    <w:lvl w:ilvl="1" w:tplc="6270E438">
      <w:start w:val="1"/>
      <w:numFmt w:val="bullet"/>
      <w:lvlText w:val="o"/>
      <w:lvlJc w:val="left"/>
      <w:pPr>
        <w:ind w:left="1440" w:hanging="360"/>
      </w:pPr>
      <w:rPr>
        <w:rFonts w:ascii="Courier New" w:hAnsi="Courier New" w:hint="default"/>
      </w:rPr>
    </w:lvl>
    <w:lvl w:ilvl="2" w:tplc="DFCE7DD0">
      <w:start w:val="1"/>
      <w:numFmt w:val="bullet"/>
      <w:lvlText w:val=""/>
      <w:lvlJc w:val="left"/>
      <w:pPr>
        <w:ind w:left="2160" w:hanging="360"/>
      </w:pPr>
      <w:rPr>
        <w:rFonts w:ascii="Wingdings" w:hAnsi="Wingdings" w:hint="default"/>
      </w:rPr>
    </w:lvl>
    <w:lvl w:ilvl="3" w:tplc="F154BA9C">
      <w:start w:val="1"/>
      <w:numFmt w:val="bullet"/>
      <w:lvlText w:val=""/>
      <w:lvlJc w:val="left"/>
      <w:pPr>
        <w:ind w:left="2880" w:hanging="360"/>
      </w:pPr>
      <w:rPr>
        <w:rFonts w:ascii="Symbol" w:hAnsi="Symbol" w:hint="default"/>
      </w:rPr>
    </w:lvl>
    <w:lvl w:ilvl="4" w:tplc="9A509496">
      <w:start w:val="1"/>
      <w:numFmt w:val="bullet"/>
      <w:lvlText w:val="o"/>
      <w:lvlJc w:val="left"/>
      <w:pPr>
        <w:ind w:left="3600" w:hanging="360"/>
      </w:pPr>
      <w:rPr>
        <w:rFonts w:ascii="Courier New" w:hAnsi="Courier New" w:hint="default"/>
      </w:rPr>
    </w:lvl>
    <w:lvl w:ilvl="5" w:tplc="AB8CB804">
      <w:start w:val="1"/>
      <w:numFmt w:val="bullet"/>
      <w:lvlText w:val=""/>
      <w:lvlJc w:val="left"/>
      <w:pPr>
        <w:ind w:left="4320" w:hanging="360"/>
      </w:pPr>
      <w:rPr>
        <w:rFonts w:ascii="Wingdings" w:hAnsi="Wingdings" w:hint="default"/>
      </w:rPr>
    </w:lvl>
    <w:lvl w:ilvl="6" w:tplc="EA5EBDBA">
      <w:start w:val="1"/>
      <w:numFmt w:val="bullet"/>
      <w:lvlText w:val=""/>
      <w:lvlJc w:val="left"/>
      <w:pPr>
        <w:ind w:left="5040" w:hanging="360"/>
      </w:pPr>
      <w:rPr>
        <w:rFonts w:ascii="Symbol" w:hAnsi="Symbol" w:hint="default"/>
      </w:rPr>
    </w:lvl>
    <w:lvl w:ilvl="7" w:tplc="298C4488">
      <w:start w:val="1"/>
      <w:numFmt w:val="bullet"/>
      <w:lvlText w:val="o"/>
      <w:lvlJc w:val="left"/>
      <w:pPr>
        <w:ind w:left="5760" w:hanging="360"/>
      </w:pPr>
      <w:rPr>
        <w:rFonts w:ascii="Courier New" w:hAnsi="Courier New" w:hint="default"/>
      </w:rPr>
    </w:lvl>
    <w:lvl w:ilvl="8" w:tplc="6DF85D44">
      <w:start w:val="1"/>
      <w:numFmt w:val="bullet"/>
      <w:lvlText w:val=""/>
      <w:lvlJc w:val="left"/>
      <w:pPr>
        <w:ind w:left="6480" w:hanging="360"/>
      </w:pPr>
      <w:rPr>
        <w:rFonts w:ascii="Wingdings" w:hAnsi="Wingdings" w:hint="default"/>
      </w:rPr>
    </w:lvl>
  </w:abstractNum>
  <w:abstractNum w:abstractNumId="6" w15:restartNumberingAfterBreak="0">
    <w:nsid w:val="605722AE"/>
    <w:multiLevelType w:val="hybridMultilevel"/>
    <w:tmpl w:val="643E32F2"/>
    <w:lvl w:ilvl="0" w:tplc="2A2E6B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6C124B08"/>
    <w:multiLevelType w:val="hybridMultilevel"/>
    <w:tmpl w:val="7144BAA0"/>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CC57F94"/>
    <w:multiLevelType w:val="hybridMultilevel"/>
    <w:tmpl w:val="46AA70E8"/>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1423BA6"/>
    <w:multiLevelType w:val="hybridMultilevel"/>
    <w:tmpl w:val="809C5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D8117A"/>
    <w:multiLevelType w:val="hybridMultilevel"/>
    <w:tmpl w:val="4782CB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975792711">
    <w:abstractNumId w:val="5"/>
  </w:num>
  <w:num w:numId="2" w16cid:durableId="1164931136">
    <w:abstractNumId w:val="0"/>
  </w:num>
  <w:num w:numId="3" w16cid:durableId="2018578709">
    <w:abstractNumId w:val="4"/>
  </w:num>
  <w:num w:numId="4" w16cid:durableId="1262568417">
    <w:abstractNumId w:val="3"/>
  </w:num>
  <w:num w:numId="5" w16cid:durableId="1457790671">
    <w:abstractNumId w:val="6"/>
  </w:num>
  <w:num w:numId="6" w16cid:durableId="1732265528">
    <w:abstractNumId w:val="1"/>
  </w:num>
  <w:num w:numId="7" w16cid:durableId="307977346">
    <w:abstractNumId w:val="8"/>
  </w:num>
  <w:num w:numId="8" w16cid:durableId="1702363470">
    <w:abstractNumId w:val="7"/>
  </w:num>
  <w:num w:numId="9" w16cid:durableId="1991783920">
    <w:abstractNumId w:val="10"/>
  </w:num>
  <w:num w:numId="10" w16cid:durableId="1939560098">
    <w:abstractNumId w:val="2"/>
  </w:num>
  <w:num w:numId="11" w16cid:durableId="1271350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3C"/>
    <w:rsid w:val="00010B7A"/>
    <w:rsid w:val="00013EE3"/>
    <w:rsid w:val="0002062C"/>
    <w:rsid w:val="00037CA3"/>
    <w:rsid w:val="00076E08"/>
    <w:rsid w:val="000A0929"/>
    <w:rsid w:val="000C3A7E"/>
    <w:rsid w:val="000C7C1D"/>
    <w:rsid w:val="000E34F4"/>
    <w:rsid w:val="000F6A4A"/>
    <w:rsid w:val="00111146"/>
    <w:rsid w:val="00113160"/>
    <w:rsid w:val="00113979"/>
    <w:rsid w:val="00125BA7"/>
    <w:rsid w:val="0014282A"/>
    <w:rsid w:val="00170D22"/>
    <w:rsid w:val="00184CC7"/>
    <w:rsid w:val="00185A7E"/>
    <w:rsid w:val="001C1E5E"/>
    <w:rsid w:val="001C4BB8"/>
    <w:rsid w:val="001F54CA"/>
    <w:rsid w:val="001F631A"/>
    <w:rsid w:val="00216A82"/>
    <w:rsid w:val="00221B3C"/>
    <w:rsid w:val="002434FA"/>
    <w:rsid w:val="00244A93"/>
    <w:rsid w:val="00261F28"/>
    <w:rsid w:val="00267D1F"/>
    <w:rsid w:val="002A262D"/>
    <w:rsid w:val="002A59CF"/>
    <w:rsid w:val="002B3BDF"/>
    <w:rsid w:val="002E369C"/>
    <w:rsid w:val="002E3D0F"/>
    <w:rsid w:val="002E5896"/>
    <w:rsid w:val="003609A5"/>
    <w:rsid w:val="00364F80"/>
    <w:rsid w:val="003B3AB2"/>
    <w:rsid w:val="003C1727"/>
    <w:rsid w:val="003F67B2"/>
    <w:rsid w:val="00413B77"/>
    <w:rsid w:val="00414887"/>
    <w:rsid w:val="00426D5B"/>
    <w:rsid w:val="00440F8F"/>
    <w:rsid w:val="00454B3E"/>
    <w:rsid w:val="00463121"/>
    <w:rsid w:val="004819B0"/>
    <w:rsid w:val="004A1E7A"/>
    <w:rsid w:val="004A2F87"/>
    <w:rsid w:val="004B6377"/>
    <w:rsid w:val="004B7845"/>
    <w:rsid w:val="004F7CA9"/>
    <w:rsid w:val="00524C6B"/>
    <w:rsid w:val="005570C8"/>
    <w:rsid w:val="0057609C"/>
    <w:rsid w:val="005A2328"/>
    <w:rsid w:val="005B3578"/>
    <w:rsid w:val="005C4B8E"/>
    <w:rsid w:val="005C7DB0"/>
    <w:rsid w:val="005D290A"/>
    <w:rsid w:val="005D727C"/>
    <w:rsid w:val="005E06AC"/>
    <w:rsid w:val="00622772"/>
    <w:rsid w:val="0063046E"/>
    <w:rsid w:val="006426A4"/>
    <w:rsid w:val="00643836"/>
    <w:rsid w:val="00650A89"/>
    <w:rsid w:val="00655A94"/>
    <w:rsid w:val="00694285"/>
    <w:rsid w:val="006B711D"/>
    <w:rsid w:val="006C2256"/>
    <w:rsid w:val="006D3C57"/>
    <w:rsid w:val="006D58E4"/>
    <w:rsid w:val="006F6779"/>
    <w:rsid w:val="0071732C"/>
    <w:rsid w:val="00724F52"/>
    <w:rsid w:val="0073359E"/>
    <w:rsid w:val="0074681B"/>
    <w:rsid w:val="00746955"/>
    <w:rsid w:val="00746EC5"/>
    <w:rsid w:val="00763D8A"/>
    <w:rsid w:val="0077716F"/>
    <w:rsid w:val="0078322A"/>
    <w:rsid w:val="007A38A8"/>
    <w:rsid w:val="007C5A5B"/>
    <w:rsid w:val="007E6EA2"/>
    <w:rsid w:val="007F1307"/>
    <w:rsid w:val="00802782"/>
    <w:rsid w:val="00827440"/>
    <w:rsid w:val="008303F9"/>
    <w:rsid w:val="00833D88"/>
    <w:rsid w:val="0083709B"/>
    <w:rsid w:val="00850D0C"/>
    <w:rsid w:val="008A3EEE"/>
    <w:rsid w:val="008A4CAE"/>
    <w:rsid w:val="008A7FCC"/>
    <w:rsid w:val="008B15C6"/>
    <w:rsid w:val="008B19DD"/>
    <w:rsid w:val="008B242A"/>
    <w:rsid w:val="008C2224"/>
    <w:rsid w:val="008C6C3F"/>
    <w:rsid w:val="008E1101"/>
    <w:rsid w:val="008F6B11"/>
    <w:rsid w:val="00904A06"/>
    <w:rsid w:val="009136D0"/>
    <w:rsid w:val="00927C92"/>
    <w:rsid w:val="009423CC"/>
    <w:rsid w:val="00966AB4"/>
    <w:rsid w:val="00974574"/>
    <w:rsid w:val="00991E0C"/>
    <w:rsid w:val="00994B8C"/>
    <w:rsid w:val="009B2FC2"/>
    <w:rsid w:val="009B55C5"/>
    <w:rsid w:val="009B628B"/>
    <w:rsid w:val="009D5341"/>
    <w:rsid w:val="009E1B25"/>
    <w:rsid w:val="00A03521"/>
    <w:rsid w:val="00A160E6"/>
    <w:rsid w:val="00A34AC9"/>
    <w:rsid w:val="00A47109"/>
    <w:rsid w:val="00A54E1D"/>
    <w:rsid w:val="00A90E2A"/>
    <w:rsid w:val="00A93270"/>
    <w:rsid w:val="00AB0531"/>
    <w:rsid w:val="00AE0003"/>
    <w:rsid w:val="00AE0923"/>
    <w:rsid w:val="00AF2A84"/>
    <w:rsid w:val="00B107F0"/>
    <w:rsid w:val="00B173FD"/>
    <w:rsid w:val="00B2414A"/>
    <w:rsid w:val="00B315AB"/>
    <w:rsid w:val="00B34063"/>
    <w:rsid w:val="00B37D13"/>
    <w:rsid w:val="00B52FA8"/>
    <w:rsid w:val="00B54D2E"/>
    <w:rsid w:val="00B70A19"/>
    <w:rsid w:val="00B8011A"/>
    <w:rsid w:val="00BC24A6"/>
    <w:rsid w:val="00BC7C50"/>
    <w:rsid w:val="00BD6AB2"/>
    <w:rsid w:val="00BE78EB"/>
    <w:rsid w:val="00BF4E57"/>
    <w:rsid w:val="00C25C94"/>
    <w:rsid w:val="00C43ADF"/>
    <w:rsid w:val="00C52901"/>
    <w:rsid w:val="00C5305A"/>
    <w:rsid w:val="00C56427"/>
    <w:rsid w:val="00C80A59"/>
    <w:rsid w:val="00C9260B"/>
    <w:rsid w:val="00C97001"/>
    <w:rsid w:val="00CA695D"/>
    <w:rsid w:val="00CB2B64"/>
    <w:rsid w:val="00CB7BE8"/>
    <w:rsid w:val="00CD2148"/>
    <w:rsid w:val="00CD38AB"/>
    <w:rsid w:val="00CF70F5"/>
    <w:rsid w:val="00D006BD"/>
    <w:rsid w:val="00D16E20"/>
    <w:rsid w:val="00D170B9"/>
    <w:rsid w:val="00D457BE"/>
    <w:rsid w:val="00D6475A"/>
    <w:rsid w:val="00D87F82"/>
    <w:rsid w:val="00D949F8"/>
    <w:rsid w:val="00DB342B"/>
    <w:rsid w:val="00DC0F82"/>
    <w:rsid w:val="00DE2CD8"/>
    <w:rsid w:val="00DF6822"/>
    <w:rsid w:val="00E16248"/>
    <w:rsid w:val="00E5245D"/>
    <w:rsid w:val="00E80028"/>
    <w:rsid w:val="00E902FD"/>
    <w:rsid w:val="00EB0569"/>
    <w:rsid w:val="00EB2B16"/>
    <w:rsid w:val="00EC0884"/>
    <w:rsid w:val="00EC3E9C"/>
    <w:rsid w:val="00EC443A"/>
    <w:rsid w:val="00EE69E1"/>
    <w:rsid w:val="00F0018F"/>
    <w:rsid w:val="00F17320"/>
    <w:rsid w:val="00F211CB"/>
    <w:rsid w:val="00F55D04"/>
    <w:rsid w:val="00FD2FCD"/>
    <w:rsid w:val="00FE41BE"/>
    <w:rsid w:val="00FF050F"/>
    <w:rsid w:val="0339DBD0"/>
    <w:rsid w:val="04CC0B4C"/>
    <w:rsid w:val="0582428E"/>
    <w:rsid w:val="05F3EE03"/>
    <w:rsid w:val="07C5A58B"/>
    <w:rsid w:val="08A1526B"/>
    <w:rsid w:val="08A302A8"/>
    <w:rsid w:val="09E8F4D7"/>
    <w:rsid w:val="0A6D203E"/>
    <w:rsid w:val="0B3CCE59"/>
    <w:rsid w:val="0E7CB5B5"/>
    <w:rsid w:val="0EFCBECA"/>
    <w:rsid w:val="1048B659"/>
    <w:rsid w:val="1337D457"/>
    <w:rsid w:val="13D5281B"/>
    <w:rsid w:val="1402BAFA"/>
    <w:rsid w:val="15605FB5"/>
    <w:rsid w:val="1684792E"/>
    <w:rsid w:val="16AB44FA"/>
    <w:rsid w:val="188ED74E"/>
    <w:rsid w:val="1A94E386"/>
    <w:rsid w:val="1E0A57FA"/>
    <w:rsid w:val="27C37CC9"/>
    <w:rsid w:val="28A732DA"/>
    <w:rsid w:val="2B6D240A"/>
    <w:rsid w:val="2F247D6F"/>
    <w:rsid w:val="31F677FC"/>
    <w:rsid w:val="3303E39E"/>
    <w:rsid w:val="34ED77ED"/>
    <w:rsid w:val="355865C7"/>
    <w:rsid w:val="371D258D"/>
    <w:rsid w:val="39567C83"/>
    <w:rsid w:val="3BA0069E"/>
    <w:rsid w:val="3C50E10B"/>
    <w:rsid w:val="3D67ED92"/>
    <w:rsid w:val="3D7E5EFB"/>
    <w:rsid w:val="3FE8BF9A"/>
    <w:rsid w:val="43767677"/>
    <w:rsid w:val="43A373F9"/>
    <w:rsid w:val="4948960D"/>
    <w:rsid w:val="49B710B7"/>
    <w:rsid w:val="4C1BBF8A"/>
    <w:rsid w:val="50AADBCE"/>
    <w:rsid w:val="510F6521"/>
    <w:rsid w:val="530D2F1F"/>
    <w:rsid w:val="53E570ED"/>
    <w:rsid w:val="5591756E"/>
    <w:rsid w:val="55D6DC97"/>
    <w:rsid w:val="5886177F"/>
    <w:rsid w:val="5969A74D"/>
    <w:rsid w:val="59AE9D41"/>
    <w:rsid w:val="5A3C666B"/>
    <w:rsid w:val="5C0C6B9B"/>
    <w:rsid w:val="610848D4"/>
    <w:rsid w:val="6177AD8F"/>
    <w:rsid w:val="63B75D79"/>
    <w:rsid w:val="6402AD5C"/>
    <w:rsid w:val="6482C00E"/>
    <w:rsid w:val="6A49A090"/>
    <w:rsid w:val="6A5634B2"/>
    <w:rsid w:val="6CED202F"/>
    <w:rsid w:val="73A97703"/>
    <w:rsid w:val="7439BED0"/>
    <w:rsid w:val="7483DFC3"/>
    <w:rsid w:val="74C5A2D1"/>
    <w:rsid w:val="7850821C"/>
    <w:rsid w:val="79078A22"/>
    <w:rsid w:val="793CEDE1"/>
    <w:rsid w:val="7E5D2E6E"/>
    <w:rsid w:val="7FAD9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4DFB"/>
  <w15:chartTrackingRefBased/>
  <w15:docId w15:val="{EDEA0670-DBE1-49B9-BD0F-21C846F6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2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21B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B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B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B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B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B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B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1B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B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221B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B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B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B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B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B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B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B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B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B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B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B3C"/>
    <w:rPr>
      <w:i/>
      <w:iCs/>
      <w:color w:val="404040" w:themeColor="text1" w:themeTint="BF"/>
    </w:rPr>
  </w:style>
  <w:style w:type="paragraph" w:styleId="Sraopastraipa">
    <w:name w:val="List Paragraph"/>
    <w:basedOn w:val="prastasis"/>
    <w:uiPriority w:val="34"/>
    <w:qFormat/>
    <w:rsid w:val="00221B3C"/>
    <w:pPr>
      <w:ind w:left="720"/>
      <w:contextualSpacing/>
    </w:pPr>
  </w:style>
  <w:style w:type="character" w:styleId="Rykuspabraukimas">
    <w:name w:val="Intense Emphasis"/>
    <w:basedOn w:val="Numatytasispastraiposriftas"/>
    <w:uiPriority w:val="21"/>
    <w:qFormat/>
    <w:rsid w:val="00221B3C"/>
    <w:rPr>
      <w:i/>
      <w:iCs/>
      <w:color w:val="0F4761" w:themeColor="accent1" w:themeShade="BF"/>
    </w:rPr>
  </w:style>
  <w:style w:type="paragraph" w:styleId="Iskirtacitata">
    <w:name w:val="Intense Quote"/>
    <w:basedOn w:val="prastasis"/>
    <w:next w:val="prastasis"/>
    <w:link w:val="IskirtacitataDiagrama"/>
    <w:uiPriority w:val="30"/>
    <w:qFormat/>
    <w:rsid w:val="0022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B3C"/>
    <w:rPr>
      <w:i/>
      <w:iCs/>
      <w:color w:val="0F4761" w:themeColor="accent1" w:themeShade="BF"/>
    </w:rPr>
  </w:style>
  <w:style w:type="character" w:styleId="Rykinuoroda">
    <w:name w:val="Intense Reference"/>
    <w:basedOn w:val="Numatytasispastraiposriftas"/>
    <w:uiPriority w:val="32"/>
    <w:qFormat/>
    <w:rsid w:val="00221B3C"/>
    <w:rPr>
      <w:b/>
      <w:bCs/>
      <w:smallCaps/>
      <w:color w:val="0F4761" w:themeColor="accent1" w:themeShade="BF"/>
      <w:spacing w:val="5"/>
    </w:rPr>
  </w:style>
  <w:style w:type="paragraph" w:styleId="Turinioantrat">
    <w:name w:val="TOC Heading"/>
    <w:basedOn w:val="Antrat1"/>
    <w:next w:val="prastasis"/>
    <w:uiPriority w:val="39"/>
    <w:unhideWhenUsed/>
    <w:qFormat/>
    <w:rsid w:val="0002062C"/>
    <w:pPr>
      <w:spacing w:before="240" w:after="0"/>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02062C"/>
    <w:pPr>
      <w:spacing w:after="100"/>
      <w:ind w:left="220"/>
    </w:pPr>
    <w:rPr>
      <w:rFonts w:eastAsiaTheme="minorEastAsia" w:cs="Times New Roman"/>
      <w:kern w:val="0"/>
      <w:lang w:eastAsia="lt-LT"/>
      <w14:ligatures w14:val="none"/>
    </w:rPr>
  </w:style>
  <w:style w:type="paragraph" w:styleId="Turinys1">
    <w:name w:val="toc 1"/>
    <w:basedOn w:val="prastasis"/>
    <w:next w:val="prastasis"/>
    <w:autoRedefine/>
    <w:uiPriority w:val="39"/>
    <w:unhideWhenUsed/>
    <w:rsid w:val="0002062C"/>
    <w:pPr>
      <w:spacing w:after="100"/>
    </w:pPr>
    <w:rPr>
      <w:rFonts w:eastAsiaTheme="minorEastAsia" w:cs="Times New Roman"/>
      <w:kern w:val="0"/>
      <w:lang w:eastAsia="lt-LT"/>
      <w14:ligatures w14:val="none"/>
    </w:rPr>
  </w:style>
  <w:style w:type="paragraph" w:styleId="Turinys3">
    <w:name w:val="toc 3"/>
    <w:basedOn w:val="prastasis"/>
    <w:next w:val="prastasis"/>
    <w:autoRedefine/>
    <w:uiPriority w:val="39"/>
    <w:unhideWhenUsed/>
    <w:rsid w:val="0002062C"/>
    <w:pPr>
      <w:spacing w:after="100"/>
      <w:ind w:left="440"/>
    </w:pPr>
    <w:rPr>
      <w:rFonts w:eastAsiaTheme="minorEastAsia" w:cs="Times New Roman"/>
      <w:kern w:val="0"/>
      <w:lang w:eastAsia="lt-LT"/>
      <w14:ligatures w14:val="none"/>
    </w:rPr>
  </w:style>
  <w:style w:type="table" w:styleId="Lentelstinklelis">
    <w:name w:val="Table Grid"/>
    <w:basedOn w:val="prastojilentel"/>
    <w:uiPriority w:val="59"/>
    <w:rsid w:val="00A932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93270"/>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A93270"/>
    <w:rPr>
      <w:kern w:val="0"/>
      <w14:ligatures w14:val="none"/>
    </w:rPr>
  </w:style>
  <w:style w:type="character" w:customStyle="1" w:styleId="ui-provider">
    <w:name w:val="ui-provider"/>
    <w:basedOn w:val="Numatytasispastraiposriftas"/>
    <w:rsid w:val="00A93270"/>
  </w:style>
  <w:style w:type="paragraph" w:styleId="Antrats">
    <w:name w:val="header"/>
    <w:basedOn w:val="prastasis"/>
    <w:link w:val="AntratsDiagrama"/>
    <w:uiPriority w:val="99"/>
    <w:unhideWhenUsed/>
    <w:rsid w:val="00A932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3270"/>
  </w:style>
  <w:style w:type="paragraph" w:customStyle="1" w:styleId="Default">
    <w:name w:val="Default"/>
    <w:rsid w:val="007C5A5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oldItalic">
    <w:name w:val="Bold Italic"/>
    <w:rsid w:val="007C5A5B"/>
    <w:rPr>
      <w:b/>
      <w:bCs/>
      <w:i/>
      <w:iCs/>
    </w:rPr>
  </w:style>
  <w:style w:type="paragraph" w:styleId="Pagrindinistekstas2">
    <w:name w:val="Body Text 2"/>
    <w:basedOn w:val="prastasis"/>
    <w:link w:val="Pagrindinistekstas2Diagrama"/>
    <w:semiHidden/>
    <w:rsid w:val="007C5A5B"/>
    <w:pPr>
      <w:spacing w:after="0" w:line="240" w:lineRule="auto"/>
      <w:jc w:val="both"/>
    </w:pPr>
    <w:rPr>
      <w:rFonts w:ascii="Times New Roman" w:eastAsia="Times New Roman" w:hAnsi="Times New Roman" w:cs="Times New Roman"/>
      <w:kern w:val="0"/>
      <w:sz w:val="24"/>
      <w:szCs w:val="24"/>
      <w:lang w:val="en-GB"/>
      <w14:ligatures w14:val="none"/>
    </w:rPr>
  </w:style>
  <w:style w:type="character" w:customStyle="1" w:styleId="Pagrindinistekstas2Diagrama">
    <w:name w:val="Pagrindinis tekstas 2 Diagrama"/>
    <w:basedOn w:val="Numatytasispastraiposriftas"/>
    <w:link w:val="Pagrindinistekstas2"/>
    <w:semiHidden/>
    <w:rsid w:val="007C5A5B"/>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semiHidden/>
    <w:rsid w:val="007C5A5B"/>
    <w:pPr>
      <w:spacing w:after="0" w:line="240" w:lineRule="auto"/>
      <w:jc w:val="center"/>
    </w:pPr>
    <w:rPr>
      <w:rFonts w:ascii="Times New Roman" w:eastAsia="Times New Roman" w:hAnsi="Times New Roman" w:cs="Times New Roman"/>
      <w:b/>
      <w:iCs/>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7C5A5B"/>
    <w:rPr>
      <w:rFonts w:ascii="Times New Roman" w:eastAsia="Times New Roman" w:hAnsi="Times New Roman" w:cs="Times New Roman"/>
      <w:b/>
      <w:iCs/>
      <w:kern w:val="0"/>
      <w:sz w:val="24"/>
      <w:szCs w:val="24"/>
      <w14:ligatures w14:val="none"/>
    </w:rPr>
  </w:style>
  <w:style w:type="paragraph" w:styleId="Pataisymai">
    <w:name w:val="Revision"/>
    <w:hidden/>
    <w:uiPriority w:val="99"/>
    <w:semiHidden/>
    <w:rsid w:val="00AE0003"/>
    <w:pPr>
      <w:spacing w:after="0" w:line="240" w:lineRule="auto"/>
    </w:pPr>
  </w:style>
  <w:style w:type="character" w:styleId="Komentaronuoroda">
    <w:name w:val="annotation reference"/>
    <w:basedOn w:val="Numatytasispastraiposriftas"/>
    <w:uiPriority w:val="99"/>
    <w:semiHidden/>
    <w:unhideWhenUsed/>
    <w:rsid w:val="00AE0003"/>
    <w:rPr>
      <w:sz w:val="16"/>
      <w:szCs w:val="16"/>
    </w:rPr>
  </w:style>
  <w:style w:type="paragraph" w:styleId="Komentarotekstas">
    <w:name w:val="annotation text"/>
    <w:basedOn w:val="prastasis"/>
    <w:link w:val="KomentarotekstasDiagrama"/>
    <w:uiPriority w:val="99"/>
    <w:unhideWhenUsed/>
    <w:rsid w:val="00AE00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0003"/>
    <w:rPr>
      <w:sz w:val="20"/>
      <w:szCs w:val="20"/>
    </w:rPr>
  </w:style>
  <w:style w:type="paragraph" w:styleId="Komentarotema">
    <w:name w:val="annotation subject"/>
    <w:basedOn w:val="Komentarotekstas"/>
    <w:next w:val="Komentarotekstas"/>
    <w:link w:val="KomentarotemaDiagrama"/>
    <w:uiPriority w:val="99"/>
    <w:semiHidden/>
    <w:unhideWhenUsed/>
    <w:rsid w:val="00AE0003"/>
    <w:rPr>
      <w:b/>
      <w:bCs/>
    </w:rPr>
  </w:style>
  <w:style w:type="character" w:customStyle="1" w:styleId="KomentarotemaDiagrama">
    <w:name w:val="Komentaro tema Diagrama"/>
    <w:basedOn w:val="KomentarotekstasDiagrama"/>
    <w:link w:val="Komentarotema"/>
    <w:uiPriority w:val="99"/>
    <w:semiHidden/>
    <w:rsid w:val="00AE00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4090</Words>
  <Characters>23316</Characters>
  <Application>Microsoft Office Word</Application>
  <DocSecurity>4</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Konovalova</dc:creator>
  <cp:keywords/>
  <dc:description/>
  <cp:lastModifiedBy>Visvaldas Vilkas</cp:lastModifiedBy>
  <cp:revision>2</cp:revision>
  <cp:lastPrinted>2025-08-21T17:45:00Z</cp:lastPrinted>
  <dcterms:created xsi:type="dcterms:W3CDTF">2025-09-18T07:22:00Z</dcterms:created>
  <dcterms:modified xsi:type="dcterms:W3CDTF">2025-09-18T07:22:00Z</dcterms:modified>
</cp:coreProperties>
</file>