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8F8B" w14:textId="77777777" w:rsidR="00211B0E" w:rsidRDefault="00211B0E" w:rsidP="00437BD1">
      <w:pPr>
        <w:spacing w:line="264" w:lineRule="auto"/>
        <w:jc w:val="center"/>
        <w:rPr>
          <w:sz w:val="28"/>
          <w:szCs w:val="28"/>
          <w:lang w:eastAsia="lt-LT"/>
        </w:rPr>
      </w:pPr>
    </w:p>
    <w:p w14:paraId="16A2F593" w14:textId="77777777" w:rsidR="00FB2A85" w:rsidRDefault="00FB2A85" w:rsidP="00437BD1">
      <w:pPr>
        <w:spacing w:line="264" w:lineRule="auto"/>
        <w:jc w:val="center"/>
        <w:rPr>
          <w:sz w:val="28"/>
          <w:szCs w:val="28"/>
          <w:lang w:eastAsia="lt-LT"/>
        </w:rPr>
      </w:pPr>
    </w:p>
    <w:p w14:paraId="7E9A5424" w14:textId="77777777" w:rsidR="00FB2A85" w:rsidRPr="000F1BA5" w:rsidRDefault="00FB2A85" w:rsidP="00437BD1">
      <w:pPr>
        <w:spacing w:line="264" w:lineRule="auto"/>
        <w:jc w:val="center"/>
        <w:rPr>
          <w:sz w:val="28"/>
          <w:szCs w:val="28"/>
          <w:lang w:eastAsia="lt-LT"/>
        </w:rPr>
      </w:pPr>
    </w:p>
    <w:p w14:paraId="62768F8C" w14:textId="77777777" w:rsidR="00211B0E" w:rsidRPr="000F1BA5" w:rsidRDefault="00211B0E" w:rsidP="00437BD1">
      <w:pPr>
        <w:spacing w:line="264" w:lineRule="auto"/>
        <w:jc w:val="center"/>
        <w:rPr>
          <w:b/>
          <w:sz w:val="28"/>
          <w:szCs w:val="28"/>
        </w:rPr>
      </w:pPr>
      <w:r w:rsidRPr="000F1BA5">
        <w:rPr>
          <w:b/>
          <w:sz w:val="28"/>
          <w:szCs w:val="28"/>
        </w:rPr>
        <w:t>VALSTYBINĖ LIGONIŲ KASA</w:t>
      </w:r>
    </w:p>
    <w:p w14:paraId="62768F8D" w14:textId="32C26487" w:rsidR="00211B0E" w:rsidRPr="000F1BA5" w:rsidRDefault="00211B0E" w:rsidP="00437BD1">
      <w:pPr>
        <w:spacing w:line="264" w:lineRule="auto"/>
        <w:jc w:val="center"/>
        <w:rPr>
          <w:b/>
          <w:sz w:val="28"/>
          <w:szCs w:val="28"/>
        </w:rPr>
      </w:pPr>
      <w:r w:rsidRPr="000F1BA5">
        <w:rPr>
          <w:b/>
          <w:sz w:val="28"/>
          <w:szCs w:val="28"/>
        </w:rPr>
        <w:t>PRIE SVEIKATOS APSAUGOS MINISTERIJOS</w:t>
      </w:r>
    </w:p>
    <w:p w14:paraId="656CC4FD" w14:textId="77777777" w:rsidR="000D6978" w:rsidRPr="000F1BA5" w:rsidRDefault="000D6978" w:rsidP="00437BD1">
      <w:pPr>
        <w:spacing w:line="264" w:lineRule="auto"/>
        <w:jc w:val="center"/>
        <w:rPr>
          <w:b/>
        </w:rPr>
      </w:pPr>
    </w:p>
    <w:p w14:paraId="18CE0B15" w14:textId="77777777" w:rsidR="000D6978" w:rsidRPr="000F1BA5" w:rsidRDefault="000D6978" w:rsidP="00437BD1">
      <w:pPr>
        <w:spacing w:line="264" w:lineRule="auto"/>
        <w:jc w:val="center"/>
        <w:rPr>
          <w:b/>
          <w:bCs/>
          <w:i/>
          <w:iCs/>
        </w:rPr>
      </w:pPr>
      <w:r w:rsidRPr="000F1BA5">
        <w:rPr>
          <w:b/>
          <w:bCs/>
          <w:i/>
          <w:iCs/>
        </w:rPr>
        <w:t>PAGAL VILNIAUS TERITORINĖS LIGONIŲ KASOS DUOMENIS</w:t>
      </w:r>
    </w:p>
    <w:p w14:paraId="338BF10F" w14:textId="77777777" w:rsidR="000D6978" w:rsidRPr="000F1BA5" w:rsidRDefault="000D6978" w:rsidP="00437BD1">
      <w:pPr>
        <w:spacing w:line="264" w:lineRule="auto"/>
        <w:jc w:val="center"/>
        <w:rPr>
          <w:b/>
        </w:rPr>
      </w:pPr>
    </w:p>
    <w:p w14:paraId="1AAB8A6B" w14:textId="77777777" w:rsidR="000D6978" w:rsidRDefault="000D6978" w:rsidP="00437BD1">
      <w:pPr>
        <w:spacing w:line="264" w:lineRule="auto"/>
        <w:jc w:val="center"/>
        <w:rPr>
          <w:b/>
        </w:rPr>
      </w:pPr>
    </w:p>
    <w:p w14:paraId="4D798BD0" w14:textId="77777777" w:rsidR="008F454F" w:rsidRDefault="008F454F" w:rsidP="00437BD1">
      <w:pPr>
        <w:spacing w:line="264" w:lineRule="auto"/>
        <w:jc w:val="center"/>
        <w:rPr>
          <w:b/>
        </w:rPr>
      </w:pPr>
    </w:p>
    <w:p w14:paraId="0A9B18A0" w14:textId="77777777" w:rsidR="008F454F" w:rsidRPr="000F1BA5" w:rsidRDefault="008F454F" w:rsidP="00437BD1">
      <w:pPr>
        <w:spacing w:line="264" w:lineRule="auto"/>
        <w:jc w:val="center"/>
        <w:rPr>
          <w:b/>
        </w:rPr>
      </w:pPr>
    </w:p>
    <w:p w14:paraId="41E9E6AA" w14:textId="77777777" w:rsidR="000D6978" w:rsidRPr="000F1BA5" w:rsidRDefault="000D6978" w:rsidP="00437BD1">
      <w:pPr>
        <w:spacing w:line="264" w:lineRule="auto"/>
        <w:jc w:val="center"/>
        <w:rPr>
          <w:b/>
        </w:rPr>
      </w:pPr>
    </w:p>
    <w:p w14:paraId="4542DFA6" w14:textId="77777777" w:rsidR="000D6978" w:rsidRPr="000F1BA5" w:rsidRDefault="000D6978" w:rsidP="00437BD1">
      <w:pPr>
        <w:spacing w:line="264" w:lineRule="auto"/>
        <w:jc w:val="center"/>
        <w:rPr>
          <w:b/>
        </w:rPr>
      </w:pPr>
    </w:p>
    <w:p w14:paraId="318ABF9E" w14:textId="77777777" w:rsidR="000D6978" w:rsidRPr="000F1BA5" w:rsidRDefault="000D6978" w:rsidP="00437BD1">
      <w:pPr>
        <w:spacing w:line="264" w:lineRule="auto"/>
        <w:jc w:val="center"/>
        <w:rPr>
          <w:b/>
        </w:rPr>
      </w:pPr>
    </w:p>
    <w:p w14:paraId="32E5E1D9" w14:textId="77777777" w:rsidR="000D6978" w:rsidRPr="000F1BA5" w:rsidRDefault="000D6978" w:rsidP="00437BD1">
      <w:pPr>
        <w:spacing w:line="264" w:lineRule="auto"/>
        <w:jc w:val="center"/>
        <w:rPr>
          <w:b/>
          <w:sz w:val="28"/>
          <w:szCs w:val="28"/>
        </w:rPr>
      </w:pPr>
      <w:r w:rsidRPr="000F1BA5">
        <w:rPr>
          <w:b/>
          <w:sz w:val="28"/>
          <w:szCs w:val="28"/>
        </w:rPr>
        <w:t>ADMINISTRUOJAMO PRIVALOMOJO</w:t>
      </w:r>
    </w:p>
    <w:p w14:paraId="38160651" w14:textId="0E91BC32" w:rsidR="000D6978" w:rsidRPr="000F1BA5" w:rsidRDefault="000D6978" w:rsidP="00437BD1">
      <w:pPr>
        <w:spacing w:line="264" w:lineRule="auto"/>
        <w:jc w:val="center"/>
        <w:rPr>
          <w:b/>
          <w:sz w:val="28"/>
          <w:szCs w:val="28"/>
        </w:rPr>
      </w:pPr>
      <w:r w:rsidRPr="000F1BA5">
        <w:rPr>
          <w:b/>
          <w:sz w:val="28"/>
          <w:szCs w:val="28"/>
        </w:rPr>
        <w:t>SVEIKATOS DRAUDIMO FONDO</w:t>
      </w:r>
    </w:p>
    <w:p w14:paraId="6E8E6014" w14:textId="77777777" w:rsidR="000D6978" w:rsidRPr="000F1BA5" w:rsidRDefault="000D6978" w:rsidP="00437BD1">
      <w:pPr>
        <w:spacing w:line="264" w:lineRule="auto"/>
        <w:jc w:val="center"/>
        <w:rPr>
          <w:b/>
          <w:sz w:val="28"/>
          <w:szCs w:val="28"/>
        </w:rPr>
      </w:pPr>
    </w:p>
    <w:p w14:paraId="6708DC2B" w14:textId="4BA3E234" w:rsidR="000D6978" w:rsidRPr="000F1BA5" w:rsidRDefault="000D6978" w:rsidP="00437BD1">
      <w:pPr>
        <w:spacing w:line="264" w:lineRule="auto"/>
        <w:jc w:val="center"/>
        <w:rPr>
          <w:b/>
          <w:sz w:val="28"/>
          <w:szCs w:val="28"/>
        </w:rPr>
      </w:pPr>
      <w:r w:rsidRPr="000F1BA5">
        <w:rPr>
          <w:b/>
          <w:sz w:val="28"/>
          <w:szCs w:val="28"/>
        </w:rPr>
        <w:t xml:space="preserve">2025 M. SAUSIO - BIRŽELIO </w:t>
      </w:r>
      <w:r w:rsidR="00712213">
        <w:rPr>
          <w:b/>
          <w:sz w:val="28"/>
          <w:szCs w:val="28"/>
        </w:rPr>
        <w:t>MĖNESIŲ</w:t>
      </w:r>
    </w:p>
    <w:p w14:paraId="59F35608" w14:textId="77777777" w:rsidR="000D6978" w:rsidRPr="000F1BA5" w:rsidRDefault="000D6978" w:rsidP="00437BD1">
      <w:pPr>
        <w:spacing w:line="264" w:lineRule="auto"/>
        <w:jc w:val="center"/>
        <w:rPr>
          <w:b/>
          <w:sz w:val="28"/>
          <w:szCs w:val="28"/>
        </w:rPr>
      </w:pPr>
      <w:r w:rsidRPr="000F1BA5">
        <w:rPr>
          <w:b/>
          <w:sz w:val="28"/>
          <w:szCs w:val="28"/>
        </w:rPr>
        <w:t>FINANSINIŲ ATASKAITŲ RINKINYS</w:t>
      </w:r>
    </w:p>
    <w:p w14:paraId="673846C6" w14:textId="77777777" w:rsidR="000D6978" w:rsidRPr="000F1BA5" w:rsidRDefault="000D6978" w:rsidP="00437BD1">
      <w:pPr>
        <w:spacing w:line="264" w:lineRule="auto"/>
        <w:jc w:val="center"/>
        <w:rPr>
          <w:b/>
        </w:rPr>
      </w:pPr>
    </w:p>
    <w:p w14:paraId="74FFF9E9" w14:textId="77777777" w:rsidR="000D6978" w:rsidRPr="000F1BA5" w:rsidRDefault="000D6978" w:rsidP="00437BD1">
      <w:pPr>
        <w:spacing w:line="264" w:lineRule="auto"/>
        <w:jc w:val="center"/>
        <w:rPr>
          <w:b/>
        </w:rPr>
      </w:pPr>
    </w:p>
    <w:p w14:paraId="1B2353A3" w14:textId="77777777" w:rsidR="000D6978" w:rsidRPr="000F1BA5" w:rsidRDefault="000D6978" w:rsidP="00437BD1">
      <w:pPr>
        <w:spacing w:line="264" w:lineRule="auto"/>
        <w:jc w:val="center"/>
        <w:rPr>
          <w:b/>
        </w:rPr>
      </w:pPr>
    </w:p>
    <w:p w14:paraId="354C4E96" w14:textId="77777777" w:rsidR="000D6978" w:rsidRPr="000F1BA5" w:rsidRDefault="000D6978" w:rsidP="00437BD1">
      <w:pPr>
        <w:spacing w:line="264" w:lineRule="auto"/>
        <w:jc w:val="center"/>
        <w:rPr>
          <w:b/>
        </w:rPr>
      </w:pPr>
    </w:p>
    <w:p w14:paraId="7C1A9165" w14:textId="77777777" w:rsidR="006E18BD" w:rsidRDefault="00437BD1" w:rsidP="00437BD1">
      <w:pPr>
        <w:spacing w:line="264" w:lineRule="auto"/>
        <w:jc w:val="both"/>
        <w:rPr>
          <w:b/>
        </w:rPr>
        <w:sectPr w:rsidR="006E18BD" w:rsidSect="006E18BD">
          <w:headerReference w:type="default" r:id="rId11"/>
          <w:footerReference w:type="default" r:id="rId12"/>
          <w:headerReference w:type="first" r:id="rId13"/>
          <w:footerReference w:type="first" r:id="rId14"/>
          <w:pgSz w:w="11906" w:h="16838"/>
          <w:pgMar w:top="1134" w:right="851" w:bottom="1134" w:left="1701" w:header="567" w:footer="567" w:gutter="0"/>
          <w:cols w:space="1296"/>
          <w:titlePg/>
          <w:docGrid w:linePitch="360"/>
        </w:sectPr>
      </w:pPr>
      <w:r w:rsidRPr="000F1BA5">
        <w:rPr>
          <w:b/>
        </w:rPr>
        <w:br w:type="page"/>
      </w:r>
    </w:p>
    <w:p w14:paraId="66974E21" w14:textId="4796B0D5" w:rsidR="00437BD1" w:rsidRPr="000F1BA5" w:rsidRDefault="00437BD1" w:rsidP="00437BD1">
      <w:pPr>
        <w:spacing w:line="264" w:lineRule="auto"/>
        <w:jc w:val="both"/>
        <w:rPr>
          <w:b/>
        </w:rPr>
      </w:pPr>
    </w:p>
    <w:p w14:paraId="4F4BF701" w14:textId="77777777" w:rsidR="00437BD1" w:rsidRPr="000F1BA5" w:rsidRDefault="00437BD1" w:rsidP="00437BD1">
      <w:pPr>
        <w:pStyle w:val="Turinys0"/>
        <w:tabs>
          <w:tab w:val="left" w:pos="438"/>
          <w:tab w:val="left" w:leader="dot" w:pos="5766"/>
          <w:tab w:val="left" w:leader="dot" w:pos="5823"/>
          <w:tab w:val="right" w:leader="dot" w:pos="9504"/>
        </w:tabs>
        <w:spacing w:before="0" w:line="264" w:lineRule="auto"/>
        <w:jc w:val="both"/>
        <w:rPr>
          <w:rFonts w:ascii="Times New Roman" w:hAnsi="Times New Roman"/>
          <w:b/>
          <w:bCs/>
          <w:sz w:val="24"/>
          <w:szCs w:val="24"/>
        </w:rPr>
      </w:pPr>
      <w:bookmarkStart w:id="0" w:name="_Hlk159507812"/>
    </w:p>
    <w:p w14:paraId="304FB44F" w14:textId="77777777" w:rsidR="00437BD1" w:rsidRPr="000F1BA5" w:rsidRDefault="00437BD1" w:rsidP="00437BD1">
      <w:pPr>
        <w:pStyle w:val="Turinys0"/>
        <w:tabs>
          <w:tab w:val="left" w:pos="438"/>
          <w:tab w:val="left" w:leader="dot" w:pos="5766"/>
          <w:tab w:val="left" w:leader="dot" w:pos="5823"/>
          <w:tab w:val="right" w:leader="dot" w:pos="9504"/>
        </w:tabs>
        <w:spacing w:before="0" w:line="264" w:lineRule="auto"/>
        <w:jc w:val="center"/>
        <w:rPr>
          <w:rFonts w:ascii="Times New Roman" w:hAnsi="Times New Roman"/>
          <w:b/>
          <w:bCs/>
          <w:sz w:val="24"/>
          <w:szCs w:val="24"/>
        </w:rPr>
      </w:pPr>
      <w:r w:rsidRPr="000F1BA5">
        <w:rPr>
          <w:rFonts w:ascii="Times New Roman" w:hAnsi="Times New Roman"/>
          <w:b/>
          <w:bCs/>
          <w:sz w:val="24"/>
          <w:szCs w:val="24"/>
        </w:rPr>
        <w:t>TURINYS</w:t>
      </w:r>
    </w:p>
    <w:p w14:paraId="7CC51775" w14:textId="77777777" w:rsidR="00437BD1" w:rsidRPr="000F1BA5" w:rsidRDefault="00437BD1" w:rsidP="00437BD1">
      <w:pPr>
        <w:pStyle w:val="Turinys0"/>
        <w:tabs>
          <w:tab w:val="left" w:pos="438"/>
          <w:tab w:val="left" w:leader="dot" w:pos="5766"/>
          <w:tab w:val="left" w:leader="dot" w:pos="5823"/>
          <w:tab w:val="right" w:leader="dot" w:pos="9504"/>
        </w:tabs>
        <w:spacing w:before="0" w:line="264" w:lineRule="auto"/>
        <w:jc w:val="both"/>
        <w:rPr>
          <w:rFonts w:ascii="Times New Roman" w:hAnsi="Times New Roman"/>
          <w:b/>
          <w:bCs/>
          <w:sz w:val="24"/>
          <w:szCs w:val="24"/>
        </w:rPr>
      </w:pPr>
    </w:p>
    <w:p w14:paraId="3021DEC3" w14:textId="77777777" w:rsidR="00437BD1" w:rsidRPr="000F1BA5" w:rsidRDefault="00437BD1" w:rsidP="00437BD1">
      <w:pPr>
        <w:pStyle w:val="Turinys0"/>
        <w:tabs>
          <w:tab w:val="left" w:pos="438"/>
          <w:tab w:val="left" w:leader="dot" w:pos="5766"/>
          <w:tab w:val="left" w:leader="dot" w:pos="5823"/>
          <w:tab w:val="right" w:leader="dot" w:pos="9504"/>
        </w:tabs>
        <w:spacing w:before="0" w:line="264" w:lineRule="auto"/>
        <w:jc w:val="both"/>
        <w:rPr>
          <w:rFonts w:ascii="Times New Roman" w:hAnsi="Times New Roman"/>
          <w:b/>
          <w:bCs/>
          <w:sz w:val="24"/>
          <w:szCs w:val="24"/>
        </w:rPr>
      </w:pPr>
    </w:p>
    <w:p w14:paraId="1E6BB10A" w14:textId="2ED6C436" w:rsidR="00437BD1" w:rsidRPr="000F1BA5" w:rsidRDefault="00437BD1" w:rsidP="00DC55B6">
      <w:pPr>
        <w:pStyle w:val="Turinys0"/>
        <w:tabs>
          <w:tab w:val="right" w:leader="dot" w:pos="9923"/>
        </w:tabs>
        <w:spacing w:before="0" w:line="264" w:lineRule="auto"/>
        <w:jc w:val="both"/>
        <w:rPr>
          <w:rFonts w:ascii="Times New Roman" w:hAnsi="Times New Roman"/>
          <w:sz w:val="24"/>
          <w:szCs w:val="24"/>
        </w:rPr>
      </w:pPr>
      <w:r w:rsidRPr="000F1BA5">
        <w:rPr>
          <w:rFonts w:ascii="Times New Roman" w:hAnsi="Times New Roman"/>
          <w:sz w:val="24"/>
          <w:szCs w:val="24"/>
        </w:rPr>
        <w:t>AIŠKINAMASIS RAŠTAS</w:t>
      </w:r>
      <w:r w:rsidR="00DC55B6">
        <w:rPr>
          <w:rFonts w:ascii="Times New Roman" w:hAnsi="Times New Roman"/>
          <w:sz w:val="24"/>
          <w:szCs w:val="24"/>
        </w:rPr>
        <w:tab/>
      </w:r>
      <w:r w:rsidRPr="000F1BA5">
        <w:rPr>
          <w:rFonts w:ascii="Times New Roman" w:hAnsi="Times New Roman"/>
          <w:sz w:val="24"/>
          <w:szCs w:val="24"/>
        </w:rPr>
        <w:t>3</w:t>
      </w:r>
    </w:p>
    <w:p w14:paraId="24738A13" w14:textId="2A46A4B8" w:rsidR="00437BD1" w:rsidRPr="000F1BA5" w:rsidRDefault="00437BD1" w:rsidP="00DC55B6">
      <w:pPr>
        <w:pStyle w:val="Turinys0"/>
        <w:tabs>
          <w:tab w:val="right" w:leader="dot" w:pos="10206"/>
        </w:tabs>
        <w:spacing w:before="0" w:line="264" w:lineRule="auto"/>
        <w:jc w:val="both"/>
        <w:rPr>
          <w:rFonts w:ascii="Times New Roman" w:hAnsi="Times New Roman"/>
          <w:sz w:val="24"/>
          <w:szCs w:val="24"/>
        </w:rPr>
      </w:pPr>
      <w:r w:rsidRPr="000F1BA5">
        <w:rPr>
          <w:rFonts w:ascii="Times New Roman" w:hAnsi="Times New Roman"/>
          <w:sz w:val="24"/>
          <w:szCs w:val="24"/>
        </w:rPr>
        <w:t>FINANSINĖS BŪKLĖS ATASKAITA</w:t>
      </w:r>
      <w:r w:rsidR="00DC55B6">
        <w:rPr>
          <w:rFonts w:ascii="Times New Roman" w:hAnsi="Times New Roman"/>
          <w:sz w:val="24"/>
          <w:szCs w:val="24"/>
        </w:rPr>
        <w:tab/>
      </w:r>
      <w:r w:rsidRPr="000F1BA5">
        <w:rPr>
          <w:rFonts w:ascii="Times New Roman" w:hAnsi="Times New Roman"/>
          <w:sz w:val="24"/>
          <w:szCs w:val="24"/>
        </w:rPr>
        <w:t>14</w:t>
      </w:r>
    </w:p>
    <w:p w14:paraId="7F84D2A4" w14:textId="513DE131" w:rsidR="00437BD1" w:rsidRPr="000F1BA5" w:rsidRDefault="00437BD1" w:rsidP="00437BD1">
      <w:pPr>
        <w:pStyle w:val="Turinys0"/>
        <w:tabs>
          <w:tab w:val="right" w:leader="dot" w:pos="9072"/>
        </w:tabs>
        <w:spacing w:before="0" w:line="264" w:lineRule="auto"/>
        <w:jc w:val="both"/>
        <w:rPr>
          <w:rFonts w:ascii="Times New Roman" w:hAnsi="Times New Roman"/>
          <w:sz w:val="24"/>
          <w:szCs w:val="24"/>
        </w:rPr>
      </w:pPr>
      <w:r w:rsidRPr="000F1BA5">
        <w:rPr>
          <w:rFonts w:ascii="Times New Roman" w:hAnsi="Times New Roman"/>
          <w:sz w:val="24"/>
          <w:szCs w:val="24"/>
        </w:rPr>
        <w:t>VEIKLOS REZULTATŲ ATASKAITA</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15</w:t>
      </w:r>
    </w:p>
    <w:p w14:paraId="2591D251" w14:textId="4DF4E559" w:rsidR="00437BD1" w:rsidRPr="000F1BA5" w:rsidRDefault="008F454F" w:rsidP="00437BD1">
      <w:pPr>
        <w:pStyle w:val="Turinys0"/>
        <w:tabs>
          <w:tab w:val="right" w:leader="dot" w:pos="9072"/>
        </w:tabs>
        <w:spacing w:before="0" w:line="264" w:lineRule="auto"/>
        <w:jc w:val="both"/>
        <w:rPr>
          <w:rFonts w:ascii="Times New Roman" w:hAnsi="Times New Roman"/>
          <w:sz w:val="24"/>
          <w:szCs w:val="24"/>
        </w:rPr>
      </w:pPr>
      <w:r>
        <w:rPr>
          <w:rFonts w:ascii="Times New Roman" w:hAnsi="Times New Roman"/>
          <w:sz w:val="24"/>
          <w:szCs w:val="24"/>
        </w:rPr>
        <w:t>G</w:t>
      </w:r>
      <w:r w:rsidR="00437BD1" w:rsidRPr="000F1BA5">
        <w:rPr>
          <w:rFonts w:ascii="Times New Roman" w:hAnsi="Times New Roman"/>
          <w:sz w:val="24"/>
          <w:szCs w:val="24"/>
        </w:rPr>
        <w:t>RYNOJO TURTO POKYČIŲ ATASKAITA</w:t>
      </w:r>
      <w:r w:rsidR="00437BD1" w:rsidRPr="000F1BA5">
        <w:rPr>
          <w:rFonts w:ascii="Times New Roman" w:hAnsi="Times New Roman"/>
          <w:sz w:val="24"/>
          <w:szCs w:val="24"/>
        </w:rPr>
        <w:tab/>
      </w:r>
      <w:r w:rsidR="00DC55B6">
        <w:rPr>
          <w:rFonts w:ascii="Times New Roman" w:hAnsi="Times New Roman"/>
          <w:sz w:val="24"/>
          <w:szCs w:val="24"/>
        </w:rPr>
        <w:tab/>
      </w:r>
      <w:r w:rsidR="00437BD1" w:rsidRPr="000F1BA5">
        <w:rPr>
          <w:rFonts w:ascii="Times New Roman" w:hAnsi="Times New Roman"/>
          <w:sz w:val="24"/>
          <w:szCs w:val="24"/>
        </w:rPr>
        <w:t>16</w:t>
      </w:r>
    </w:p>
    <w:p w14:paraId="663E4743" w14:textId="470F6B49" w:rsidR="00437BD1" w:rsidRPr="000F1BA5" w:rsidRDefault="00437BD1" w:rsidP="00437BD1">
      <w:pPr>
        <w:pStyle w:val="Turinys0"/>
        <w:tabs>
          <w:tab w:val="right" w:leader="dot" w:pos="9072"/>
        </w:tabs>
        <w:spacing w:before="0" w:line="264" w:lineRule="auto"/>
        <w:jc w:val="both"/>
        <w:rPr>
          <w:rFonts w:ascii="Times New Roman" w:hAnsi="Times New Roman"/>
          <w:sz w:val="24"/>
          <w:szCs w:val="24"/>
        </w:rPr>
      </w:pPr>
      <w:r w:rsidRPr="000F1BA5">
        <w:rPr>
          <w:rFonts w:ascii="Times New Roman" w:hAnsi="Times New Roman"/>
          <w:sz w:val="24"/>
          <w:szCs w:val="24"/>
        </w:rPr>
        <w:t>PINIGŲ SRAUTŲ ATASKAITA</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17</w:t>
      </w:r>
    </w:p>
    <w:p w14:paraId="7E40CD5F" w14:textId="77777777" w:rsidR="00437BD1" w:rsidRPr="000F1BA5" w:rsidRDefault="00437BD1" w:rsidP="00437BD1">
      <w:pPr>
        <w:pStyle w:val="Turinys0"/>
        <w:tabs>
          <w:tab w:val="right" w:leader="dot" w:pos="9072"/>
        </w:tabs>
        <w:spacing w:before="0" w:line="264" w:lineRule="auto"/>
        <w:jc w:val="both"/>
        <w:rPr>
          <w:rFonts w:ascii="Times New Roman" w:hAnsi="Times New Roman"/>
          <w:sz w:val="24"/>
          <w:szCs w:val="24"/>
        </w:rPr>
      </w:pPr>
      <w:r w:rsidRPr="000F1BA5">
        <w:rPr>
          <w:rFonts w:ascii="Times New Roman" w:hAnsi="Times New Roman"/>
          <w:sz w:val="24"/>
          <w:szCs w:val="24"/>
        </w:rPr>
        <w:t>PRIEDAI:</w:t>
      </w:r>
    </w:p>
    <w:p w14:paraId="1713B544" w14:textId="3593B533"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2025 m. Informacija pagal veiklos segmentus (1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19</w:t>
      </w:r>
    </w:p>
    <w:p w14:paraId="01AAD95B" w14:textId="7E9B2BA8"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Informacija apie išankstinius apmokėjimus (2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20</w:t>
      </w:r>
    </w:p>
    <w:p w14:paraId="1261392D" w14:textId="21E6CCD6"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Informacija apie per vienus metus gautinas sumas (3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21</w:t>
      </w:r>
    </w:p>
    <w:p w14:paraId="36DB20E8" w14:textId="2E4CEA83"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Finansavimo sumos pagal šaltinį, tikslinę paskirtį r jų pokyčiai per ataskaitinį laikotarpį (4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22</w:t>
      </w:r>
    </w:p>
    <w:p w14:paraId="0F8A3F8C" w14:textId="57CD62FA"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Finansavimo sumų likučiai (5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23</w:t>
      </w:r>
    </w:p>
    <w:p w14:paraId="45B49A7A" w14:textId="7D5B0448"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Informacija apie finansavimo sumas (gautas) pagal išmokų rūšis (6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24</w:t>
      </w:r>
    </w:p>
    <w:p w14:paraId="3C971223" w14:textId="27C03AD7"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Informacija apie mokėtinas socialines išmokas pagal išmokų rūšį (7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25</w:t>
      </w:r>
    </w:p>
    <w:p w14:paraId="0A9F9E10" w14:textId="149E072D"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Informacija apie įsipareigojimų dalį (įskaitant finansinės nuomos (lizingo) įsipareigojimus) eurais ir užsienio valiutomis (8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26</w:t>
      </w:r>
    </w:p>
    <w:p w14:paraId="287F7B05" w14:textId="0D85FE40"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Pagrindinės veiklos kitų pajamų pateikimas žemesniojo ir aukštesniojo lygių viešojo sektoriaus subjekto finansinių ataskaitų aiškinamajame rašte* (9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27</w:t>
      </w:r>
    </w:p>
    <w:p w14:paraId="3D9F32ED" w14:textId="687799DD" w:rsidR="00437BD1" w:rsidRPr="000F1BA5" w:rsidRDefault="00437BD1" w:rsidP="008F454F">
      <w:pPr>
        <w:pStyle w:val="Turinys0"/>
        <w:tabs>
          <w:tab w:val="right" w:leader="dot" w:pos="9072"/>
        </w:tabs>
        <w:spacing w:before="0" w:line="264" w:lineRule="auto"/>
        <w:ind w:left="170"/>
        <w:jc w:val="both"/>
        <w:rPr>
          <w:rFonts w:ascii="Times New Roman" w:hAnsi="Times New Roman"/>
          <w:sz w:val="24"/>
          <w:szCs w:val="24"/>
        </w:rPr>
      </w:pPr>
      <w:r w:rsidRPr="000F1BA5">
        <w:rPr>
          <w:rFonts w:ascii="Times New Roman" w:hAnsi="Times New Roman"/>
          <w:sz w:val="24"/>
          <w:szCs w:val="24"/>
        </w:rPr>
        <w:t>Informacija apie socialinių išmokų sąnaudas pagal išmokų rūšis (10 priedas)</w:t>
      </w:r>
      <w:r w:rsidRPr="000F1BA5">
        <w:rPr>
          <w:rFonts w:ascii="Times New Roman" w:hAnsi="Times New Roman"/>
          <w:sz w:val="24"/>
          <w:szCs w:val="24"/>
        </w:rPr>
        <w:tab/>
      </w:r>
      <w:r w:rsidR="00DC55B6">
        <w:rPr>
          <w:rFonts w:ascii="Times New Roman" w:hAnsi="Times New Roman"/>
          <w:sz w:val="24"/>
          <w:szCs w:val="24"/>
        </w:rPr>
        <w:tab/>
      </w:r>
      <w:r w:rsidRPr="000F1BA5">
        <w:rPr>
          <w:rFonts w:ascii="Times New Roman" w:hAnsi="Times New Roman"/>
          <w:sz w:val="24"/>
          <w:szCs w:val="24"/>
        </w:rPr>
        <w:t>28</w:t>
      </w:r>
    </w:p>
    <w:p w14:paraId="1F718C36" w14:textId="77777777" w:rsidR="00437BD1" w:rsidRPr="000F1BA5" w:rsidRDefault="00437BD1" w:rsidP="00437BD1">
      <w:pPr>
        <w:pStyle w:val="Turinys0"/>
        <w:tabs>
          <w:tab w:val="right" w:leader="dot" w:pos="9072"/>
        </w:tabs>
        <w:spacing w:before="0" w:line="264" w:lineRule="auto"/>
        <w:ind w:left="227"/>
        <w:jc w:val="both"/>
        <w:rPr>
          <w:rFonts w:ascii="Times New Roman" w:hAnsi="Times New Roman"/>
          <w:sz w:val="24"/>
          <w:szCs w:val="24"/>
        </w:rPr>
      </w:pPr>
    </w:p>
    <w:bookmarkEnd w:id="0"/>
    <w:p w14:paraId="456453AC" w14:textId="77777777" w:rsidR="00437BD1" w:rsidRPr="000F1BA5" w:rsidRDefault="00437BD1" w:rsidP="00437BD1">
      <w:pPr>
        <w:pStyle w:val="Turinys0"/>
        <w:tabs>
          <w:tab w:val="left" w:pos="438"/>
          <w:tab w:val="left" w:leader="dot" w:pos="5766"/>
          <w:tab w:val="left" w:leader="dot" w:pos="5823"/>
          <w:tab w:val="right" w:leader="dot" w:pos="9504"/>
        </w:tabs>
        <w:spacing w:before="0" w:line="264" w:lineRule="auto"/>
        <w:jc w:val="both"/>
        <w:rPr>
          <w:rFonts w:ascii="Times New Roman" w:hAnsi="Times New Roman"/>
          <w:sz w:val="24"/>
          <w:szCs w:val="24"/>
        </w:rPr>
      </w:pPr>
    </w:p>
    <w:p w14:paraId="3615D353" w14:textId="77777777" w:rsidR="007A2B81" w:rsidRDefault="00437BD1" w:rsidP="00437BD1">
      <w:pPr>
        <w:spacing w:line="264" w:lineRule="auto"/>
        <w:jc w:val="both"/>
        <w:sectPr w:rsidR="007A2B81" w:rsidSect="006E18BD">
          <w:footerReference w:type="default" r:id="rId15"/>
          <w:pgSz w:w="11906" w:h="16838"/>
          <w:pgMar w:top="1134" w:right="851" w:bottom="1134" w:left="1701" w:header="567" w:footer="567" w:gutter="0"/>
          <w:cols w:space="1296"/>
          <w:docGrid w:linePitch="360"/>
        </w:sectPr>
      </w:pPr>
      <w:r w:rsidRPr="000F1BA5">
        <w:br w:type="page"/>
      </w:r>
    </w:p>
    <w:p w14:paraId="5B47C691" w14:textId="77777777" w:rsidR="00FB2A85" w:rsidRPr="000F1BA5" w:rsidRDefault="00FB2A85" w:rsidP="00FB2A85">
      <w:pPr>
        <w:tabs>
          <w:tab w:val="left" w:pos="4253"/>
          <w:tab w:val="left" w:pos="4395"/>
        </w:tabs>
        <w:spacing w:line="264" w:lineRule="auto"/>
        <w:ind w:right="-143"/>
        <w:jc w:val="center"/>
      </w:pPr>
      <w:r w:rsidRPr="000F1BA5">
        <w:rPr>
          <w:noProof/>
          <w:lang w:eastAsia="lt-LT"/>
        </w:rPr>
        <w:lastRenderedPageBreak/>
        <w:drawing>
          <wp:inline distT="0" distB="0" distL="0" distR="0" wp14:anchorId="428E220F" wp14:editId="61BD7B4E">
            <wp:extent cx="685800" cy="685800"/>
            <wp:effectExtent l="0" t="0" r="0" b="0"/>
            <wp:docPr id="453361285"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F1BA5">
        <w:br w:type="textWrapping" w:clear="all"/>
      </w:r>
    </w:p>
    <w:p w14:paraId="7BBDAD49" w14:textId="77777777" w:rsidR="00FB2A85" w:rsidRPr="000F1BA5" w:rsidRDefault="00FB2A85" w:rsidP="00FB2A85">
      <w:pPr>
        <w:spacing w:line="264" w:lineRule="auto"/>
        <w:jc w:val="center"/>
        <w:rPr>
          <w:b/>
          <w:sz w:val="28"/>
          <w:szCs w:val="28"/>
        </w:rPr>
      </w:pPr>
      <w:r w:rsidRPr="000F1BA5">
        <w:rPr>
          <w:b/>
          <w:sz w:val="28"/>
          <w:szCs w:val="28"/>
        </w:rPr>
        <w:t>VALSTYBINĖ LIGONIŲ KASA</w:t>
      </w:r>
    </w:p>
    <w:p w14:paraId="34EAD2DD" w14:textId="534376F6" w:rsidR="00437BD1" w:rsidRPr="00FB2A85" w:rsidRDefault="00FB2A85" w:rsidP="00FB2A85">
      <w:pPr>
        <w:spacing w:line="264" w:lineRule="auto"/>
        <w:jc w:val="center"/>
        <w:rPr>
          <w:b/>
          <w:sz w:val="28"/>
          <w:szCs w:val="28"/>
        </w:rPr>
      </w:pPr>
      <w:r w:rsidRPr="000F1BA5">
        <w:rPr>
          <w:b/>
          <w:sz w:val="28"/>
          <w:szCs w:val="28"/>
        </w:rPr>
        <w:t>PRIE SVEIKATOS APSAUGOS MINISTERIJOS</w:t>
      </w:r>
    </w:p>
    <w:p w14:paraId="2FA838E9" w14:textId="77777777" w:rsidR="00437BD1" w:rsidRDefault="00437BD1" w:rsidP="00437BD1">
      <w:pPr>
        <w:tabs>
          <w:tab w:val="left" w:pos="466"/>
          <w:tab w:val="right" w:leader="dot" w:pos="9504"/>
        </w:tabs>
        <w:spacing w:line="264" w:lineRule="auto"/>
        <w:ind w:firstLine="851"/>
        <w:jc w:val="both"/>
        <w:rPr>
          <w:b/>
        </w:rPr>
      </w:pPr>
    </w:p>
    <w:p w14:paraId="5B457770" w14:textId="77777777" w:rsidR="00F61842" w:rsidRPr="000F1BA5" w:rsidRDefault="00F61842" w:rsidP="00F61842">
      <w:pPr>
        <w:spacing w:line="264" w:lineRule="auto"/>
        <w:jc w:val="center"/>
        <w:rPr>
          <w:b/>
          <w:sz w:val="28"/>
          <w:szCs w:val="28"/>
        </w:rPr>
      </w:pPr>
      <w:r w:rsidRPr="000F1BA5">
        <w:rPr>
          <w:b/>
          <w:sz w:val="28"/>
          <w:szCs w:val="28"/>
        </w:rPr>
        <w:t>ADMINISTRUOJAMO PRIVALOMOJO</w:t>
      </w:r>
    </w:p>
    <w:p w14:paraId="1303D7C3" w14:textId="77777777" w:rsidR="00F61842" w:rsidRPr="000F1BA5" w:rsidRDefault="00F61842" w:rsidP="00F61842">
      <w:pPr>
        <w:spacing w:line="264" w:lineRule="auto"/>
        <w:jc w:val="center"/>
        <w:rPr>
          <w:b/>
          <w:sz w:val="28"/>
          <w:szCs w:val="28"/>
        </w:rPr>
      </w:pPr>
      <w:r w:rsidRPr="000F1BA5">
        <w:rPr>
          <w:b/>
          <w:sz w:val="28"/>
          <w:szCs w:val="28"/>
        </w:rPr>
        <w:t>SVEIKATOS DRAUDIMO FONDO</w:t>
      </w:r>
    </w:p>
    <w:p w14:paraId="59F3064C" w14:textId="190490F0" w:rsidR="00F61842" w:rsidRPr="000F1BA5" w:rsidRDefault="001D3DED" w:rsidP="00437BD1">
      <w:pPr>
        <w:tabs>
          <w:tab w:val="left" w:pos="466"/>
          <w:tab w:val="right" w:leader="dot" w:pos="9504"/>
        </w:tabs>
        <w:spacing w:line="264" w:lineRule="auto"/>
        <w:ind w:firstLine="851"/>
        <w:jc w:val="both"/>
        <w:rPr>
          <w:b/>
        </w:rPr>
      </w:pPr>
      <w:r w:rsidRPr="001D3DED">
        <w:rPr>
          <w:b/>
        </w:rPr>
        <w:t>PAGAL VILNIAUS TERITORINĖS LIGONIŲ KASOS DUOMENI</w:t>
      </w:r>
      <w:r>
        <w:rPr>
          <w:b/>
        </w:rPr>
        <w:t>S</w:t>
      </w:r>
    </w:p>
    <w:p w14:paraId="639C0734" w14:textId="77777777" w:rsidR="00437BD1" w:rsidRPr="000F1BA5" w:rsidRDefault="00437BD1" w:rsidP="00437BD1">
      <w:pPr>
        <w:tabs>
          <w:tab w:val="left" w:pos="466"/>
          <w:tab w:val="right" w:leader="dot" w:pos="9504"/>
        </w:tabs>
        <w:spacing w:line="264" w:lineRule="auto"/>
        <w:jc w:val="center"/>
        <w:rPr>
          <w:b/>
        </w:rPr>
      </w:pPr>
      <w:r w:rsidRPr="000F1BA5">
        <w:rPr>
          <w:b/>
        </w:rPr>
        <w:t>A I Š K I N A M A S I S   R A Š T A S</w:t>
      </w:r>
    </w:p>
    <w:p w14:paraId="73CD3772" w14:textId="77777777" w:rsidR="00437BD1" w:rsidRPr="000F1BA5" w:rsidRDefault="00437BD1" w:rsidP="00437BD1">
      <w:pPr>
        <w:tabs>
          <w:tab w:val="left" w:pos="466"/>
          <w:tab w:val="right" w:leader="dot" w:pos="9504"/>
        </w:tabs>
        <w:spacing w:line="264" w:lineRule="auto"/>
        <w:jc w:val="both"/>
        <w:rPr>
          <w:b/>
        </w:rPr>
      </w:pPr>
    </w:p>
    <w:p w14:paraId="22D4FD49" w14:textId="77777777" w:rsidR="00437BD1" w:rsidRPr="000F1BA5" w:rsidRDefault="00437BD1" w:rsidP="00437BD1">
      <w:pPr>
        <w:tabs>
          <w:tab w:val="left" w:pos="466"/>
          <w:tab w:val="right" w:leader="dot" w:pos="9504"/>
        </w:tabs>
        <w:spacing w:line="264" w:lineRule="auto"/>
        <w:jc w:val="center"/>
      </w:pPr>
      <w:r w:rsidRPr="000F1BA5">
        <w:t>2025 m. rugpjūčio      d. Nr.</w:t>
      </w:r>
    </w:p>
    <w:p w14:paraId="6005B082" w14:textId="77777777" w:rsidR="00437BD1" w:rsidRPr="000F1BA5" w:rsidRDefault="00437BD1" w:rsidP="00437BD1">
      <w:pPr>
        <w:tabs>
          <w:tab w:val="left" w:pos="466"/>
          <w:tab w:val="right" w:leader="dot" w:pos="9504"/>
        </w:tabs>
        <w:spacing w:line="264" w:lineRule="auto"/>
        <w:ind w:firstLine="851"/>
        <w:jc w:val="both"/>
      </w:pPr>
    </w:p>
    <w:p w14:paraId="55516702" w14:textId="77777777" w:rsidR="00437BD1" w:rsidRPr="000F1BA5" w:rsidRDefault="00437BD1" w:rsidP="00437BD1">
      <w:pPr>
        <w:tabs>
          <w:tab w:val="left" w:pos="466"/>
          <w:tab w:val="right" w:leader="dot" w:pos="9504"/>
        </w:tabs>
        <w:spacing w:line="264" w:lineRule="auto"/>
        <w:jc w:val="center"/>
      </w:pPr>
      <w:r w:rsidRPr="000F1BA5">
        <w:rPr>
          <w:b/>
          <w:bCs/>
        </w:rPr>
        <w:t xml:space="preserve">I. </w:t>
      </w:r>
      <w:r w:rsidRPr="000F1BA5">
        <w:rPr>
          <w:b/>
        </w:rPr>
        <w:t>BENDROJI DALIS</w:t>
      </w:r>
    </w:p>
    <w:p w14:paraId="2EE99444" w14:textId="77777777" w:rsidR="00437BD1" w:rsidRPr="000F1BA5" w:rsidRDefault="00437BD1" w:rsidP="00437BD1">
      <w:pPr>
        <w:spacing w:line="264" w:lineRule="auto"/>
        <w:ind w:firstLine="851"/>
        <w:jc w:val="both"/>
      </w:pPr>
    </w:p>
    <w:p w14:paraId="51E9B4B1" w14:textId="77777777" w:rsidR="00437BD1" w:rsidRPr="000F1BA5" w:rsidRDefault="00437BD1" w:rsidP="00437BD1">
      <w:pPr>
        <w:spacing w:line="264" w:lineRule="auto"/>
        <w:jc w:val="center"/>
        <w:rPr>
          <w:b/>
        </w:rPr>
      </w:pPr>
      <w:r w:rsidRPr="000F1BA5">
        <w:rPr>
          <w:b/>
        </w:rPr>
        <w:t>1. Bendroji informacija</w:t>
      </w:r>
    </w:p>
    <w:p w14:paraId="0DC5C8CA" w14:textId="77777777" w:rsidR="00437BD1" w:rsidRPr="000F1BA5" w:rsidRDefault="00437BD1" w:rsidP="00437BD1">
      <w:pPr>
        <w:spacing w:line="264" w:lineRule="auto"/>
        <w:ind w:firstLine="851"/>
        <w:jc w:val="both"/>
        <w:rPr>
          <w:b/>
        </w:rPr>
      </w:pPr>
    </w:p>
    <w:p w14:paraId="77B4A2BB" w14:textId="77777777" w:rsidR="00437BD1" w:rsidRPr="000F1BA5" w:rsidRDefault="00437BD1" w:rsidP="00437BD1">
      <w:pPr>
        <w:spacing w:line="264" w:lineRule="auto"/>
        <w:ind w:firstLine="851"/>
        <w:jc w:val="both"/>
      </w:pPr>
      <w:r w:rsidRPr="000F1BA5">
        <w:t>Lietuvos Respublikos sveikatos apsaugos ministerijos ir Valstybinės ligonių kasos prie SAM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yra reorganizuojamos jungimo būdu – prijungiant jas prie biudžetinės įstaigos Valstybinės ligonių kasos prie SAM (juridinio asmens kodas – 191351679). Po reorganizacijos visos prijungiamų įstaigų teisės ir pareigos pereina Valstybinei ligonių kasai prie SAM.</w:t>
      </w:r>
    </w:p>
    <w:p w14:paraId="67D3C65C" w14:textId="77777777" w:rsidR="00437BD1" w:rsidRPr="000F1BA5" w:rsidRDefault="00437BD1" w:rsidP="00437BD1">
      <w:pPr>
        <w:pStyle w:val="Pagrindiniotekstotrauka"/>
        <w:spacing w:line="264" w:lineRule="auto"/>
        <w:ind w:firstLine="851"/>
      </w:pPr>
      <w:r w:rsidRPr="000F1BA5">
        <w:t xml:space="preserve">Vilniaus teritorinė ligonių kasa (toliau – Vilniaus TLK), į. k. 188783796, valstybės biudžetinė įstaiga, įregistruota valstybės įmonės Registrų centro Vilniaus filialo Juridinių asmenų registre 2003 m. sausio 2 d., registro Nr. 019961. </w:t>
      </w:r>
    </w:p>
    <w:p w14:paraId="426D9CF3" w14:textId="1279E82B" w:rsidR="00437BD1" w:rsidRPr="000F1BA5" w:rsidRDefault="00437BD1" w:rsidP="00437BD1">
      <w:pPr>
        <w:spacing w:line="264" w:lineRule="auto"/>
        <w:ind w:firstLine="851"/>
        <w:jc w:val="both"/>
      </w:pPr>
      <w:r w:rsidRPr="000F1BA5">
        <w:t>Vilniaus TLK yra viešasis juridinis asmuo, turintis antspaudą su Lietuvos valstybės herbu ir savo pavadinimu bei sąskaitas banke. Vilniaus TLK turi sąskaitų banke „</w:t>
      </w:r>
      <w:r w:rsidR="000F1BA5" w:rsidRPr="000F1BA5">
        <w:t>Swedbank “</w:t>
      </w:r>
      <w:r w:rsidRPr="000F1BA5">
        <w:t>, AB.</w:t>
      </w:r>
    </w:p>
    <w:p w14:paraId="022AF4D7" w14:textId="352D9D72" w:rsidR="00437BD1" w:rsidRPr="000F1BA5" w:rsidRDefault="00437BD1" w:rsidP="00437BD1">
      <w:pPr>
        <w:spacing w:line="264" w:lineRule="auto"/>
        <w:ind w:firstLine="851"/>
        <w:jc w:val="both"/>
      </w:pPr>
      <w:r w:rsidRPr="000F1BA5">
        <w:t xml:space="preserve">Vilniaus TLK adresas: Ž. Liauksmino g. 6, Vilnius. Vilniaus TLK turi darbo vietų Alytuje, buveinės adresas: Naujoji g. 48, Alytus, bei Vilniaus ir Alytaus veiklos zonos rajonų centruose. </w:t>
      </w:r>
    </w:p>
    <w:p w14:paraId="7B82BC39" w14:textId="617BDD6D" w:rsidR="00F61842" w:rsidRDefault="00437BD1" w:rsidP="00F61842">
      <w:pPr>
        <w:spacing w:line="264" w:lineRule="auto"/>
        <w:ind w:firstLine="851"/>
        <w:jc w:val="both"/>
        <w:sectPr w:rsidR="00F61842" w:rsidSect="006E18BD">
          <w:footerReference w:type="default" r:id="rId17"/>
          <w:pgSz w:w="11906" w:h="16838"/>
          <w:pgMar w:top="1134" w:right="851" w:bottom="1134" w:left="1701" w:header="567" w:footer="567" w:gutter="0"/>
          <w:cols w:space="1296"/>
          <w:docGrid w:linePitch="360"/>
        </w:sectPr>
      </w:pPr>
      <w:r w:rsidRPr="000F1BA5">
        <w:t>Vilniaus TLK steigėjas – Valstybinė ligonių kasa prie Sveikatos apsaugos ministerijos (toliau – Valstybinė ligonių kasa prie SAM). Už savo veiklą Vilniaus TLK atskaitinga Valstybinei ligonių kasai prie SAM.</w:t>
      </w:r>
    </w:p>
    <w:p w14:paraId="5DF54D4A" w14:textId="77777777" w:rsidR="00F61842" w:rsidRPr="000F1BA5" w:rsidRDefault="00F61842" w:rsidP="00F61842">
      <w:pPr>
        <w:spacing w:line="264" w:lineRule="auto"/>
        <w:jc w:val="both"/>
      </w:pPr>
    </w:p>
    <w:p w14:paraId="0D1D2FF7" w14:textId="77777777" w:rsidR="00437BD1" w:rsidRPr="000F1BA5" w:rsidRDefault="00437BD1" w:rsidP="00437BD1">
      <w:pPr>
        <w:spacing w:line="264" w:lineRule="auto"/>
        <w:jc w:val="center"/>
        <w:rPr>
          <w:b/>
        </w:rPr>
      </w:pPr>
      <w:r w:rsidRPr="000F1BA5">
        <w:rPr>
          <w:b/>
        </w:rPr>
        <w:t>2. Veikla</w:t>
      </w:r>
    </w:p>
    <w:p w14:paraId="33C5E1BC" w14:textId="77777777" w:rsidR="00437BD1" w:rsidRPr="000F1BA5" w:rsidRDefault="00437BD1" w:rsidP="00437BD1">
      <w:pPr>
        <w:spacing w:line="264" w:lineRule="auto"/>
        <w:ind w:firstLine="851"/>
        <w:jc w:val="both"/>
        <w:rPr>
          <w:b/>
        </w:rPr>
      </w:pPr>
    </w:p>
    <w:p w14:paraId="403CC21B" w14:textId="77777777" w:rsidR="009D6235" w:rsidRDefault="00437BD1" w:rsidP="00437BD1">
      <w:pPr>
        <w:pStyle w:val="Pagrindiniotekstotrauka"/>
        <w:spacing w:line="264" w:lineRule="auto"/>
        <w:ind w:firstLine="851"/>
        <w:sectPr w:rsidR="009D6235" w:rsidSect="006E18BD">
          <w:footerReference w:type="default" r:id="rId18"/>
          <w:pgSz w:w="11906" w:h="16838"/>
          <w:pgMar w:top="1134" w:right="851" w:bottom="1134" w:left="1701" w:header="567" w:footer="567" w:gutter="0"/>
          <w:cols w:space="1296"/>
          <w:docGrid w:linePitch="360"/>
        </w:sectPr>
      </w:pPr>
      <w:r w:rsidRPr="000F1BA5">
        <w:t xml:space="preserve">Vilniaus TLK yra valstybės institucija, kurios veiklos tikslas yra, disponuojant jai perduota Privalomojo sveikatos draudimo fondo (toliau – PSDF) lėšų dalimi, garantuoti privalomuoju sveikatos draudimu apdraustiems asmenims sveikatos priežiūros paslaugų teikimą </w:t>
      </w:r>
    </w:p>
    <w:p w14:paraId="4971BC51" w14:textId="77777777" w:rsidR="00437BD1" w:rsidRPr="000F1BA5" w:rsidRDefault="00437BD1" w:rsidP="00437BD1">
      <w:pPr>
        <w:pStyle w:val="Pagrindiniotekstotrauka"/>
        <w:spacing w:line="264" w:lineRule="auto"/>
        <w:ind w:firstLine="851"/>
      </w:pPr>
      <w:r w:rsidRPr="000F1BA5">
        <w:t>ir išlaidų už suteiktas paslaugas apmokėjimą. Kompensuojamuosius vaistus ir medicinos pagalbos priemones bei jų apmokėjimą nuo 2022 metų apskaito Kauno teritorinė ligonių kasa.</w:t>
      </w:r>
    </w:p>
    <w:p w14:paraId="11E1210F" w14:textId="77777777" w:rsidR="00616ADB" w:rsidRDefault="00437BD1" w:rsidP="00437BD1">
      <w:pPr>
        <w:autoSpaceDE w:val="0"/>
        <w:autoSpaceDN w:val="0"/>
        <w:adjustRightInd w:val="0"/>
        <w:spacing w:line="264" w:lineRule="auto"/>
        <w:ind w:firstLine="851"/>
        <w:jc w:val="both"/>
        <w:sectPr w:rsidR="00616ADB" w:rsidSect="009D6235">
          <w:footerReference w:type="default" r:id="rId19"/>
          <w:type w:val="continuous"/>
          <w:pgSz w:w="11906" w:h="16838"/>
          <w:pgMar w:top="1134" w:right="851" w:bottom="1134" w:left="1701" w:header="567" w:footer="567" w:gutter="0"/>
          <w:cols w:space="1296"/>
          <w:docGrid w:linePitch="360"/>
        </w:sectPr>
      </w:pPr>
      <w:r w:rsidRPr="000F1BA5">
        <w:t xml:space="preserve">Vilniaus TLK Privalomojo sveikatos draudimo fondo administravimo veikloje vadovaujasi Lietuvos Respublikos Konstitucija, įstatymais, kitais Lietuvos Respublikos Seimo priimtais teisės aktais, Lietuvos Respublikos Vyriausybės nutarimais, Lietuvos Respublikos sveikatos apsaugos ministerijos ir Valstybinės ligonių kasos prie SAM įsakymais, kitais teisės </w:t>
      </w:r>
    </w:p>
    <w:p w14:paraId="2B525328" w14:textId="77777777" w:rsidR="00437BD1" w:rsidRPr="000F1BA5" w:rsidRDefault="00437BD1" w:rsidP="00437BD1">
      <w:pPr>
        <w:autoSpaceDE w:val="0"/>
        <w:autoSpaceDN w:val="0"/>
        <w:adjustRightInd w:val="0"/>
        <w:spacing w:line="264" w:lineRule="auto"/>
        <w:ind w:firstLine="851"/>
        <w:jc w:val="both"/>
      </w:pPr>
      <w:r w:rsidRPr="000F1BA5">
        <w:t xml:space="preserve">aktais, taip pat Valstybinės ligonių kasos prie SAM direktoriaus patvirtintais Vilniaus TLK nuostatais. </w:t>
      </w:r>
    </w:p>
    <w:p w14:paraId="104CF64F" w14:textId="77777777" w:rsidR="00437BD1" w:rsidRPr="000F1BA5" w:rsidRDefault="00437BD1" w:rsidP="00437BD1">
      <w:pPr>
        <w:autoSpaceDE w:val="0"/>
        <w:autoSpaceDN w:val="0"/>
        <w:adjustRightInd w:val="0"/>
        <w:spacing w:line="264" w:lineRule="auto"/>
        <w:ind w:firstLine="851"/>
        <w:jc w:val="both"/>
      </w:pPr>
      <w:r w:rsidRPr="000F1BA5">
        <w:t xml:space="preserve">Vilniaus TLK veikla finansuojama iš PSDF biudžeto. </w:t>
      </w:r>
    </w:p>
    <w:p w14:paraId="7391E0D4" w14:textId="77777777" w:rsidR="00437BD1" w:rsidRPr="000F1BA5" w:rsidRDefault="00437BD1" w:rsidP="00437BD1">
      <w:pPr>
        <w:autoSpaceDE w:val="0"/>
        <w:autoSpaceDN w:val="0"/>
        <w:adjustRightInd w:val="0"/>
        <w:spacing w:line="264" w:lineRule="auto"/>
        <w:ind w:firstLine="851"/>
        <w:jc w:val="both"/>
      </w:pPr>
      <w:r w:rsidRPr="000F1BA5">
        <w:t xml:space="preserve">Pagal atliekamas funkcijas Vilniaus TLK veiklos segmentas – sveikatos apsauga. </w:t>
      </w:r>
    </w:p>
    <w:p w14:paraId="3E6B24B2" w14:textId="77777777" w:rsidR="00437BD1" w:rsidRPr="000F1BA5" w:rsidRDefault="00437BD1" w:rsidP="00437BD1">
      <w:pPr>
        <w:autoSpaceDE w:val="0"/>
        <w:autoSpaceDN w:val="0"/>
        <w:adjustRightInd w:val="0"/>
        <w:spacing w:line="264" w:lineRule="auto"/>
        <w:ind w:firstLine="851"/>
        <w:jc w:val="both"/>
      </w:pPr>
      <w:r w:rsidRPr="000F1BA5">
        <w:t>Finansiniai metai prasideda sausio 1 d., o baigiasi gruodžio 31 d. Dėl reorganizacijos 2025 m. finansiniai metai prasideda sausio 1 d., baigiasi birželio 30 d.</w:t>
      </w:r>
    </w:p>
    <w:p w14:paraId="2F6B87EC" w14:textId="77777777" w:rsidR="00437BD1" w:rsidRPr="000F1BA5" w:rsidRDefault="00437BD1" w:rsidP="00437BD1">
      <w:pPr>
        <w:spacing w:line="264" w:lineRule="auto"/>
        <w:ind w:firstLine="851"/>
        <w:jc w:val="both"/>
        <w:rPr>
          <w:color w:val="00B050"/>
        </w:rPr>
      </w:pPr>
    </w:p>
    <w:p w14:paraId="4B4A389C" w14:textId="77777777" w:rsidR="00437BD1" w:rsidRPr="000F1BA5" w:rsidRDefault="00437BD1" w:rsidP="00437BD1">
      <w:pPr>
        <w:pStyle w:val="Temosantrat30"/>
        <w:keepNext/>
        <w:keepLines/>
        <w:spacing w:before="0" w:line="264" w:lineRule="auto"/>
        <w:jc w:val="center"/>
        <w:rPr>
          <w:rFonts w:ascii="Times New Roman" w:hAnsi="Times New Roman"/>
          <w:b/>
          <w:sz w:val="24"/>
          <w:szCs w:val="24"/>
        </w:rPr>
      </w:pPr>
      <w:r w:rsidRPr="000F1BA5">
        <w:rPr>
          <w:rFonts w:ascii="Times New Roman" w:hAnsi="Times New Roman"/>
          <w:b/>
          <w:sz w:val="24"/>
          <w:szCs w:val="24"/>
        </w:rPr>
        <w:t>II. APSKAITOS POLITIKA</w:t>
      </w:r>
    </w:p>
    <w:p w14:paraId="796A8445" w14:textId="77777777" w:rsidR="00437BD1" w:rsidRPr="000F1BA5" w:rsidRDefault="00437BD1" w:rsidP="00437BD1">
      <w:pPr>
        <w:pStyle w:val="Temosantrat30"/>
        <w:keepNext/>
        <w:keepLines/>
        <w:spacing w:before="0" w:line="264" w:lineRule="auto"/>
        <w:ind w:firstLine="851"/>
        <w:jc w:val="both"/>
        <w:rPr>
          <w:rFonts w:ascii="Times New Roman" w:hAnsi="Times New Roman"/>
          <w:b/>
          <w:sz w:val="24"/>
          <w:szCs w:val="24"/>
        </w:rPr>
      </w:pPr>
    </w:p>
    <w:p w14:paraId="066155D6" w14:textId="77777777" w:rsidR="00437BD1" w:rsidRPr="000F1BA5" w:rsidRDefault="00437BD1" w:rsidP="00437BD1">
      <w:pPr>
        <w:pStyle w:val="Temosantrat30"/>
        <w:keepNext/>
        <w:keepLines/>
        <w:spacing w:before="0" w:line="264" w:lineRule="auto"/>
        <w:jc w:val="center"/>
        <w:rPr>
          <w:rFonts w:ascii="Times New Roman" w:hAnsi="Times New Roman"/>
          <w:b/>
          <w:sz w:val="24"/>
          <w:szCs w:val="24"/>
        </w:rPr>
      </w:pPr>
      <w:r w:rsidRPr="000F1BA5">
        <w:rPr>
          <w:rFonts w:ascii="Times New Roman" w:hAnsi="Times New Roman"/>
          <w:b/>
          <w:sz w:val="24"/>
          <w:szCs w:val="24"/>
        </w:rPr>
        <w:t>1. Finansinių ataskaitų parengimo pagrindas ir forma</w:t>
      </w:r>
    </w:p>
    <w:p w14:paraId="5F26B580" w14:textId="77777777" w:rsidR="00437BD1" w:rsidRPr="000F1BA5" w:rsidRDefault="00437BD1" w:rsidP="00437BD1">
      <w:pPr>
        <w:pStyle w:val="Temosantrat30"/>
        <w:keepNext/>
        <w:keepLines/>
        <w:spacing w:before="0" w:line="264" w:lineRule="auto"/>
        <w:jc w:val="both"/>
        <w:rPr>
          <w:rFonts w:ascii="Times New Roman" w:hAnsi="Times New Roman"/>
          <w:b/>
          <w:sz w:val="24"/>
          <w:szCs w:val="24"/>
        </w:rPr>
      </w:pPr>
    </w:p>
    <w:p w14:paraId="6B0DE9A1" w14:textId="77777777" w:rsidR="00437BD1" w:rsidRPr="000F1BA5" w:rsidRDefault="00437BD1" w:rsidP="00437BD1">
      <w:pPr>
        <w:pStyle w:val="Default"/>
        <w:spacing w:line="264" w:lineRule="auto"/>
        <w:ind w:firstLine="851"/>
        <w:jc w:val="both"/>
        <w:rPr>
          <w:b/>
          <w:bCs/>
          <w:color w:val="auto"/>
        </w:rPr>
      </w:pPr>
      <w:r w:rsidRPr="000F1BA5">
        <w:t xml:space="preserve">Administruojamo </w:t>
      </w:r>
      <w:r w:rsidRPr="000F1BA5">
        <w:rPr>
          <w:color w:val="auto"/>
        </w:rPr>
        <w:t>Privalomojo sveikatos draudimo fondo fi</w:t>
      </w:r>
      <w:r w:rsidRPr="000F1BA5">
        <w:t>nansinės ataskaitos parengtos vadovaujantis Lietuvos Respublikos finansinės apskaitos ir Viešojo sektoriaus atskaitomybės įstatymų reikalavimais bei Viešojo sektoriaus apskaitos ir finansinės atskaitomybės standartais (toliau – VSAFAS).</w:t>
      </w:r>
      <w:r w:rsidRPr="000F1BA5">
        <w:rPr>
          <w:color w:val="0070C0"/>
        </w:rPr>
        <w:t xml:space="preserve"> </w:t>
      </w:r>
      <w:r w:rsidRPr="000F1BA5">
        <w:rPr>
          <w:color w:val="auto"/>
        </w:rPr>
        <w:t xml:space="preserve">Tvarkydama apskaitą ir sudarydama  finansines ataskaitas, TLK vadovaujasi VSAFAS nuo 2010 metų sausio 1 dienos. </w:t>
      </w:r>
    </w:p>
    <w:p w14:paraId="0FC8C88B"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Vilniaus TLK sudaro du finansinių ataskaitų rinkinius: teritorinės ligonių kasos (veiklos) ir teritorinės ligonių kasos administruojamo PSDF. </w:t>
      </w:r>
    </w:p>
    <w:p w14:paraId="24C22423"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Vilniaus TLK  finansinių ataskaitų rinkinį sudaro šios ataskaitos: finansinių ataskaitų aiškinamasis raštas, finansinės būklės ataskaita, veiklos rezultatų ataskaita, grynojo turto pokyčių ataskaita ir pinigų srautų ataskaita. </w:t>
      </w:r>
    </w:p>
    <w:p w14:paraId="46F10990" w14:textId="77777777" w:rsidR="00437BD1" w:rsidRPr="000F1BA5" w:rsidRDefault="00437BD1" w:rsidP="00437BD1">
      <w:pPr>
        <w:pStyle w:val="Default"/>
        <w:spacing w:line="264" w:lineRule="auto"/>
        <w:ind w:firstLine="851"/>
        <w:jc w:val="both"/>
      </w:pPr>
      <w:r w:rsidRPr="000F1BA5">
        <w:t>Valstybinės ligonių kasos prie SAM direktoriaus 2011 m. birželio 21 d. įsakymu Nr. 1K-120 (su visais pakeitimais) patvirtintame apskaitos vadove reglamentuota ir detalizuota Valstybinės ligonių kasos prie SAM ir teritorinių ligonių kasų apskaitos politika, kurioje atsispindi atskiri finansinių ataskaitų elementai, ūkinės operacijos ir jų apskaitos procedūros: nematerialiojo ir ilgalaikio materialiojo turto, atsargų, finansinio turto, gautinų sumų, pinigų ir pinigų ekvivalentų, finansavimo sumų, finansinių įsipareigojimų, pajamų, sąnaudų, turto nuvertėjimo, neapibrėžtųjų įsipareigojimų ir neapibrėžtojo turto.</w:t>
      </w:r>
    </w:p>
    <w:p w14:paraId="2808B1A8" w14:textId="77777777" w:rsidR="00437BD1" w:rsidRPr="000F1BA5" w:rsidRDefault="00437BD1" w:rsidP="00437BD1">
      <w:pPr>
        <w:pStyle w:val="Default"/>
        <w:spacing w:line="264" w:lineRule="auto"/>
        <w:ind w:firstLine="851"/>
        <w:jc w:val="both"/>
      </w:pPr>
      <w:r w:rsidRPr="000F1BA5">
        <w:t xml:space="preserve">Vilniaus TLK taiko tokią apskaitos politiką, kuri užtikrina, kad apskaitos duomenys atitiktų kiekvieno taikytino VSAFAS reikalavimus. Pagal subjekto principą Vilniaus TLK laikoma apskaitos vienetu – atskirai tvarko apskaitą, sudaro ir teikia finansinių ataskaitų ir biudžeto vykdymo ataskaitų rinkinius.  </w:t>
      </w:r>
    </w:p>
    <w:p w14:paraId="7094336C" w14:textId="77777777" w:rsidR="00437BD1" w:rsidRPr="000F1BA5" w:rsidRDefault="00437BD1" w:rsidP="00437BD1">
      <w:pPr>
        <w:pStyle w:val="Default"/>
        <w:spacing w:line="264" w:lineRule="auto"/>
        <w:ind w:firstLine="851"/>
        <w:jc w:val="both"/>
      </w:pPr>
      <w:r w:rsidRPr="000F1BA5">
        <w:t xml:space="preserve">Apskaitoje Vilniaus TLK vadovaujasi Valstybinės ligonių kasos prie SAM direktoriaus 2023 m. lapkričio 20 d. įsakymu Nr. 1K-340 patvirtintu Valstybinės ligonių kasos prie Sveikatos apsaugos ministerijos ir teritorinių ligonių kasų sąskaitų planu (su visais pakeitimais). </w:t>
      </w:r>
    </w:p>
    <w:p w14:paraId="0085BBB0" w14:textId="77777777" w:rsidR="00437BD1" w:rsidRPr="000F1BA5" w:rsidRDefault="00437BD1" w:rsidP="00437BD1">
      <w:pPr>
        <w:pStyle w:val="Default"/>
        <w:spacing w:line="264" w:lineRule="auto"/>
        <w:ind w:firstLine="851"/>
        <w:jc w:val="both"/>
      </w:pPr>
      <w:r w:rsidRPr="000F1BA5">
        <w:lastRenderedPageBreak/>
        <w:t>Visos ūkinės operacijos ir ūkiniai įvykiai nuo 2015 m. sausio 1 dienos registruojami eurais ir centais.</w:t>
      </w:r>
    </w:p>
    <w:p w14:paraId="257DEF62"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Ūkinės operacijos ir ūkiniai įvykiai  apskaitoje registruojami tik pagal jų pagrindimo apskaitos dokumentą, turintį visus Lietuvos Respublikos finansinės apskaitos įstatyme nustatytus rekvizitus. Pažyma surašoma tais atvejais, kai ūkinė operacija įvyko, tačiau apskaitos dokumentas dar negautas arba kitoks dokumentas neįforminamas. </w:t>
      </w:r>
    </w:p>
    <w:p w14:paraId="6B554F07"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Vilniaus TLK administruojamo Privalomojo sveikatos draudimo fondo metinis finansinių ataskaitų rinkinys sudaromas ir teikiamas Valstybinei ligonių kasai prie SAM.</w:t>
      </w:r>
    </w:p>
    <w:p w14:paraId="42C5AF60"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p>
    <w:p w14:paraId="34E5C06E" w14:textId="77777777" w:rsidR="00437BD1" w:rsidRPr="000F1BA5" w:rsidRDefault="00437BD1" w:rsidP="00437BD1">
      <w:pPr>
        <w:pStyle w:val="Temosantrat30"/>
        <w:keepNext/>
        <w:keepLines/>
        <w:spacing w:before="0" w:line="264" w:lineRule="auto"/>
        <w:jc w:val="center"/>
        <w:rPr>
          <w:rFonts w:ascii="Times New Roman" w:hAnsi="Times New Roman"/>
          <w:b/>
          <w:color w:val="000000" w:themeColor="text1"/>
          <w:sz w:val="24"/>
          <w:szCs w:val="24"/>
        </w:rPr>
      </w:pPr>
      <w:r w:rsidRPr="000F1BA5">
        <w:rPr>
          <w:rFonts w:ascii="Times New Roman" w:hAnsi="Times New Roman"/>
          <w:b/>
          <w:color w:val="000000" w:themeColor="text1"/>
          <w:sz w:val="24"/>
          <w:szCs w:val="24"/>
        </w:rPr>
        <w:t>2. Finansinių ataskaitų valiuta</w:t>
      </w:r>
    </w:p>
    <w:p w14:paraId="6D140B88" w14:textId="77777777" w:rsidR="00437BD1" w:rsidRPr="000F1BA5" w:rsidRDefault="00437BD1" w:rsidP="00437BD1">
      <w:pPr>
        <w:pStyle w:val="Temosantrat30"/>
        <w:keepNext/>
        <w:keepLines/>
        <w:spacing w:before="0" w:line="264" w:lineRule="auto"/>
        <w:ind w:firstLine="851"/>
        <w:jc w:val="both"/>
        <w:rPr>
          <w:rFonts w:ascii="Times New Roman" w:hAnsi="Times New Roman"/>
          <w:b/>
          <w:color w:val="000000" w:themeColor="text1"/>
          <w:sz w:val="24"/>
          <w:szCs w:val="24"/>
        </w:rPr>
      </w:pPr>
    </w:p>
    <w:p w14:paraId="350B5CDD"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Vilniaus TLK administruojamo Privalomojo sveikatos draudimo fondo apskaitą tvarko ir šiose finansinėse ataskaitose visas sumas pateikia Lietuvos Respublikos nacionaline valiuta – eurais.</w:t>
      </w:r>
    </w:p>
    <w:p w14:paraId="65118C44" w14:textId="77777777" w:rsidR="000F1BA5" w:rsidRPr="000F1BA5" w:rsidRDefault="000F1BA5" w:rsidP="00437BD1">
      <w:pPr>
        <w:pStyle w:val="Pagrindinistekstas1"/>
        <w:shd w:val="clear" w:color="auto" w:fill="auto"/>
        <w:spacing w:before="0" w:line="264" w:lineRule="auto"/>
        <w:ind w:firstLine="851"/>
        <w:jc w:val="both"/>
        <w:rPr>
          <w:rFonts w:ascii="Times New Roman" w:hAnsi="Times New Roman"/>
          <w:b/>
          <w:sz w:val="24"/>
          <w:szCs w:val="24"/>
        </w:rPr>
      </w:pPr>
    </w:p>
    <w:p w14:paraId="78BCC4B1" w14:textId="77777777" w:rsidR="00437BD1" w:rsidRPr="000F1BA5" w:rsidRDefault="00437BD1" w:rsidP="00437BD1">
      <w:pPr>
        <w:pStyle w:val="Pagrindinistekstas1"/>
        <w:shd w:val="clear" w:color="auto" w:fill="auto"/>
        <w:spacing w:before="0" w:line="264" w:lineRule="auto"/>
        <w:rPr>
          <w:rFonts w:ascii="Times New Roman" w:hAnsi="Times New Roman"/>
          <w:b/>
          <w:color w:val="000000" w:themeColor="text1"/>
          <w:sz w:val="24"/>
          <w:szCs w:val="24"/>
        </w:rPr>
      </w:pPr>
      <w:r w:rsidRPr="000F1BA5">
        <w:rPr>
          <w:rFonts w:ascii="Times New Roman" w:hAnsi="Times New Roman"/>
          <w:b/>
          <w:sz w:val="24"/>
          <w:szCs w:val="24"/>
        </w:rPr>
        <w:t xml:space="preserve">3. </w:t>
      </w:r>
      <w:r w:rsidRPr="000F1BA5">
        <w:rPr>
          <w:rFonts w:ascii="Times New Roman" w:hAnsi="Times New Roman"/>
          <w:b/>
          <w:color w:val="000000" w:themeColor="text1"/>
          <w:sz w:val="24"/>
          <w:szCs w:val="24"/>
        </w:rPr>
        <w:t>Nematerialusis turtas</w:t>
      </w:r>
    </w:p>
    <w:p w14:paraId="3BDF31E3"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color w:val="000000" w:themeColor="text1"/>
          <w:sz w:val="24"/>
          <w:szCs w:val="24"/>
        </w:rPr>
      </w:pPr>
    </w:p>
    <w:p w14:paraId="7C899B6A"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color w:val="000000" w:themeColor="text1"/>
          <w:sz w:val="24"/>
          <w:szCs w:val="24"/>
        </w:rPr>
        <w:t xml:space="preserve">Nematerialiojo turto Vilniaus TLK </w:t>
      </w:r>
      <w:r w:rsidRPr="000F1BA5">
        <w:rPr>
          <w:rFonts w:ascii="Times New Roman" w:hAnsi="Times New Roman"/>
          <w:sz w:val="24"/>
          <w:szCs w:val="24"/>
        </w:rPr>
        <w:t>administruojamo Privalomojo sveikatos draudimo fondo apskaitoje nėra.</w:t>
      </w:r>
    </w:p>
    <w:p w14:paraId="461C3C6D"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sz w:val="24"/>
          <w:szCs w:val="24"/>
          <w:highlight w:val="red"/>
        </w:rPr>
      </w:pPr>
    </w:p>
    <w:p w14:paraId="4446F272" w14:textId="77777777" w:rsidR="00437BD1" w:rsidRPr="000F1BA5" w:rsidRDefault="00437BD1" w:rsidP="00437BD1">
      <w:pPr>
        <w:pStyle w:val="Temosantrat30"/>
        <w:keepNext/>
        <w:keepLines/>
        <w:spacing w:before="0" w:line="264" w:lineRule="auto"/>
        <w:jc w:val="center"/>
        <w:rPr>
          <w:rFonts w:ascii="Times New Roman" w:hAnsi="Times New Roman"/>
          <w:b/>
          <w:color w:val="000000" w:themeColor="text1"/>
          <w:sz w:val="24"/>
          <w:szCs w:val="24"/>
        </w:rPr>
      </w:pPr>
      <w:r w:rsidRPr="000F1BA5">
        <w:rPr>
          <w:rFonts w:ascii="Times New Roman" w:hAnsi="Times New Roman"/>
          <w:b/>
          <w:color w:val="000000" w:themeColor="text1"/>
          <w:sz w:val="24"/>
          <w:szCs w:val="24"/>
        </w:rPr>
        <w:t>4. Ilgalaikis materialusis turtas</w:t>
      </w:r>
    </w:p>
    <w:p w14:paraId="70CFD8E0" w14:textId="77777777" w:rsidR="00437BD1" w:rsidRPr="000F1BA5" w:rsidRDefault="00437BD1" w:rsidP="00437BD1">
      <w:pPr>
        <w:pStyle w:val="Temosantrat30"/>
        <w:keepNext/>
        <w:keepLines/>
        <w:spacing w:before="0" w:line="264" w:lineRule="auto"/>
        <w:ind w:firstLine="851"/>
        <w:jc w:val="both"/>
        <w:rPr>
          <w:rFonts w:ascii="Times New Roman" w:hAnsi="Times New Roman"/>
          <w:b/>
          <w:color w:val="000000" w:themeColor="text1"/>
          <w:sz w:val="24"/>
          <w:szCs w:val="24"/>
          <w:highlight w:val="red"/>
        </w:rPr>
      </w:pPr>
    </w:p>
    <w:p w14:paraId="70C004EE"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color w:val="000000" w:themeColor="text1"/>
          <w:sz w:val="24"/>
          <w:szCs w:val="24"/>
        </w:rPr>
        <w:t xml:space="preserve">Ilgalaikio materialiojo turto Vilniaus TLK </w:t>
      </w:r>
      <w:r w:rsidRPr="000F1BA5">
        <w:rPr>
          <w:rFonts w:ascii="Times New Roman" w:hAnsi="Times New Roman"/>
          <w:sz w:val="24"/>
          <w:szCs w:val="24"/>
        </w:rPr>
        <w:t>administruojamo Privalomojo sveikatos draudimo fondo apskaitoje nėra.</w:t>
      </w:r>
    </w:p>
    <w:p w14:paraId="118A0C89"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p>
    <w:p w14:paraId="780F90CC" w14:textId="77777777" w:rsidR="00437BD1" w:rsidRPr="000F1BA5" w:rsidRDefault="00437BD1" w:rsidP="00437BD1">
      <w:pPr>
        <w:pStyle w:val="Pagrindinistekstas1"/>
        <w:shd w:val="clear" w:color="auto" w:fill="auto"/>
        <w:spacing w:before="0" w:line="264" w:lineRule="auto"/>
        <w:rPr>
          <w:rFonts w:ascii="Times New Roman" w:hAnsi="Times New Roman"/>
          <w:b/>
          <w:sz w:val="24"/>
          <w:szCs w:val="24"/>
        </w:rPr>
      </w:pPr>
      <w:r w:rsidRPr="000F1BA5">
        <w:rPr>
          <w:rFonts w:ascii="Times New Roman" w:hAnsi="Times New Roman"/>
          <w:b/>
          <w:sz w:val="24"/>
          <w:szCs w:val="24"/>
        </w:rPr>
        <w:t>5. Biologinis turtas</w:t>
      </w:r>
    </w:p>
    <w:p w14:paraId="0832E8AF"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sz w:val="24"/>
          <w:szCs w:val="24"/>
          <w:highlight w:val="red"/>
        </w:rPr>
      </w:pPr>
    </w:p>
    <w:p w14:paraId="24153DBE"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B</w:t>
      </w:r>
      <w:r w:rsidRPr="000F1BA5">
        <w:rPr>
          <w:rFonts w:ascii="Times New Roman" w:hAnsi="Times New Roman"/>
          <w:color w:val="000000" w:themeColor="text1"/>
          <w:sz w:val="24"/>
          <w:szCs w:val="24"/>
        </w:rPr>
        <w:t xml:space="preserve">iologinio turto Vilniaus TLK </w:t>
      </w:r>
      <w:r w:rsidRPr="000F1BA5">
        <w:rPr>
          <w:rFonts w:ascii="Times New Roman" w:hAnsi="Times New Roman"/>
          <w:sz w:val="24"/>
          <w:szCs w:val="24"/>
        </w:rPr>
        <w:t>administruojamo Privalomojo sveikatos draudimo fondo apskaitoje nėra.</w:t>
      </w:r>
    </w:p>
    <w:p w14:paraId="5DEE7664"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p>
    <w:p w14:paraId="2040C866" w14:textId="77777777" w:rsidR="00437BD1" w:rsidRPr="000F1BA5" w:rsidRDefault="00437BD1" w:rsidP="00437BD1">
      <w:pPr>
        <w:pStyle w:val="Pagrindinistekstas1"/>
        <w:shd w:val="clear" w:color="auto" w:fill="auto"/>
        <w:spacing w:before="0" w:line="264" w:lineRule="auto"/>
        <w:rPr>
          <w:rFonts w:ascii="Times New Roman" w:hAnsi="Times New Roman"/>
          <w:b/>
          <w:sz w:val="24"/>
          <w:szCs w:val="24"/>
        </w:rPr>
      </w:pPr>
      <w:r w:rsidRPr="000F1BA5">
        <w:rPr>
          <w:rFonts w:ascii="Times New Roman" w:hAnsi="Times New Roman"/>
          <w:b/>
          <w:sz w:val="24"/>
          <w:szCs w:val="24"/>
        </w:rPr>
        <w:t>6.</w:t>
      </w:r>
      <w:r w:rsidRPr="000F1BA5">
        <w:rPr>
          <w:rFonts w:ascii="Times New Roman" w:hAnsi="Times New Roman"/>
          <w:sz w:val="24"/>
          <w:szCs w:val="24"/>
        </w:rPr>
        <w:t xml:space="preserve"> </w:t>
      </w:r>
      <w:r w:rsidRPr="000F1BA5">
        <w:rPr>
          <w:rFonts w:ascii="Times New Roman" w:hAnsi="Times New Roman"/>
          <w:b/>
          <w:sz w:val="24"/>
          <w:szCs w:val="24"/>
        </w:rPr>
        <w:t>Finansinis turtas ir finansiniai įsipareigojimai</w:t>
      </w:r>
    </w:p>
    <w:p w14:paraId="7054C45F" w14:textId="77777777" w:rsidR="00437BD1" w:rsidRPr="000F1BA5" w:rsidRDefault="00437BD1" w:rsidP="00437BD1">
      <w:pPr>
        <w:spacing w:line="264" w:lineRule="auto"/>
        <w:ind w:firstLine="851"/>
        <w:jc w:val="both"/>
      </w:pPr>
    </w:p>
    <w:p w14:paraId="7EFE701C" w14:textId="77777777" w:rsidR="00437BD1" w:rsidRPr="000F1BA5" w:rsidRDefault="00437BD1" w:rsidP="00437BD1">
      <w:pPr>
        <w:spacing w:line="264" w:lineRule="auto"/>
        <w:ind w:firstLine="851"/>
        <w:jc w:val="both"/>
      </w:pPr>
      <w:r w:rsidRPr="000F1BA5">
        <w:t xml:space="preserve">Finansinis turtas apskaitoje grupuojamas į ilgalaikį ir trumpalaikį. </w:t>
      </w:r>
    </w:p>
    <w:p w14:paraId="021FEF44" w14:textId="77777777" w:rsidR="00437BD1" w:rsidRPr="000F1BA5" w:rsidRDefault="00437BD1" w:rsidP="00437BD1">
      <w:pPr>
        <w:spacing w:line="264" w:lineRule="auto"/>
        <w:ind w:firstLine="851"/>
        <w:jc w:val="both"/>
      </w:pPr>
      <w:r w:rsidRPr="000F1BA5">
        <w:t>Ilgalaikiam finansiniam turtui priskiriamos po vienų metų gautinos sumos ir kitos ilgalaikės gautinos sumos.</w:t>
      </w:r>
    </w:p>
    <w:p w14:paraId="1E2AB861" w14:textId="77777777" w:rsidR="00437BD1" w:rsidRPr="000F1BA5" w:rsidRDefault="00437BD1" w:rsidP="000F1BA5">
      <w:pPr>
        <w:pStyle w:val="ListParagraph1"/>
        <w:tabs>
          <w:tab w:val="left" w:pos="709"/>
          <w:tab w:val="left" w:pos="851"/>
          <w:tab w:val="left" w:pos="1134"/>
          <w:tab w:val="left" w:pos="1276"/>
        </w:tabs>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lang w:eastAsia="en-US"/>
        </w:rPr>
        <w:t>Vilniaus TLK gali turėti šių rūšių trumpalaikio finansinio turto:</w:t>
      </w:r>
    </w:p>
    <w:p w14:paraId="67F02F50" w14:textId="77777777" w:rsidR="00437BD1" w:rsidRPr="000F1BA5" w:rsidRDefault="00437BD1" w:rsidP="000F1BA5">
      <w:pPr>
        <w:pStyle w:val="ListParagraph1"/>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lang w:eastAsia="en-US"/>
        </w:rPr>
        <w:t>-  išankstinių mokėjimų;</w:t>
      </w:r>
    </w:p>
    <w:p w14:paraId="04540B40" w14:textId="77777777" w:rsidR="00437BD1" w:rsidRPr="000F1BA5" w:rsidRDefault="00437BD1" w:rsidP="000F1BA5">
      <w:pPr>
        <w:pStyle w:val="ListParagraph1"/>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lang w:eastAsia="en-US"/>
        </w:rPr>
        <w:t>-  per vienus metus gautinų sumų;</w:t>
      </w:r>
    </w:p>
    <w:p w14:paraId="27403B0B" w14:textId="77777777" w:rsidR="00437BD1" w:rsidRPr="000F1BA5" w:rsidRDefault="00437BD1" w:rsidP="000F1BA5">
      <w:pPr>
        <w:pStyle w:val="ListParagraph1"/>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lang w:eastAsia="en-US"/>
        </w:rPr>
        <w:t>-  pinigų.</w:t>
      </w:r>
    </w:p>
    <w:p w14:paraId="6625CF97" w14:textId="77777777" w:rsidR="00437BD1" w:rsidRPr="000F1BA5" w:rsidRDefault="00437BD1" w:rsidP="000F1BA5">
      <w:pPr>
        <w:pStyle w:val="ListParagraph1"/>
        <w:tabs>
          <w:tab w:val="left" w:pos="1276"/>
        </w:tabs>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lang w:eastAsia="en-US"/>
        </w:rPr>
        <w:t>Išankstiniai mokėjimai</w:t>
      </w:r>
      <w:r w:rsidRPr="000F1BA5">
        <w:rPr>
          <w:rFonts w:ascii="Times New Roman" w:hAnsi="Times New Roman"/>
          <w:b/>
          <w:lang w:eastAsia="en-US"/>
        </w:rPr>
        <w:t xml:space="preserve"> </w:t>
      </w:r>
      <w:r w:rsidRPr="000F1BA5">
        <w:rPr>
          <w:rFonts w:ascii="Times New Roman" w:hAnsi="Times New Roman"/>
          <w:lang w:eastAsia="en-US"/>
        </w:rPr>
        <w:t>– tai iš anksto sumokėtas finansavimas sveikatos programoms finansuoti ir iš anksto sumokėtos socialinės išmokos. Iš anksto sumokėtas finansavimas registruojamas tada, kai teritorinės ligonių kasos fondas gauna finansavimą iš Valstybinės ligonių kasos prie SAM fondo ir perduoda jį sveikatos programas vykdančioms institucijoms.</w:t>
      </w:r>
    </w:p>
    <w:p w14:paraId="5399AF58" w14:textId="77777777" w:rsidR="00437BD1" w:rsidRPr="000F1BA5" w:rsidRDefault="00437BD1" w:rsidP="000F1BA5">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Gautinos sumos apskaitoje registruojamos tada, kai Vilniaus TLK įgyja teisę gauti pinigus ar kitą finansinį turtą. Registruojamos gautinos sumos įvertinamos įsigijimo savikaina. </w:t>
      </w:r>
    </w:p>
    <w:p w14:paraId="49E8947E" w14:textId="77777777" w:rsidR="00437BD1" w:rsidRPr="000F1BA5" w:rsidRDefault="00437BD1" w:rsidP="00437BD1">
      <w:pPr>
        <w:autoSpaceDE w:val="0"/>
        <w:autoSpaceDN w:val="0"/>
        <w:adjustRightInd w:val="0"/>
        <w:spacing w:line="264" w:lineRule="auto"/>
        <w:ind w:firstLine="851"/>
        <w:jc w:val="both"/>
      </w:pPr>
      <w:r w:rsidRPr="000F1BA5">
        <w:t>Per vienus metus gautinos sumos – tai</w:t>
      </w:r>
      <w:r w:rsidRPr="000F1BA5">
        <w:rPr>
          <w:b/>
        </w:rPr>
        <w:t xml:space="preserve"> </w:t>
      </w:r>
      <w:r w:rsidRPr="000F1BA5">
        <w:t>išieškotinos sumos už juridinių asmenų PSDF biudžetui padarytą žalą ir</w:t>
      </w:r>
      <w:r w:rsidRPr="000F1BA5">
        <w:rPr>
          <w:b/>
        </w:rPr>
        <w:t xml:space="preserve"> </w:t>
      </w:r>
      <w:r w:rsidRPr="000F1BA5">
        <w:t>gautinos sumos už kompensuojamųjų vaistų pasų pakartotinį išdavimą.</w:t>
      </w:r>
    </w:p>
    <w:p w14:paraId="7A957139" w14:textId="77777777" w:rsidR="00437BD1" w:rsidRPr="000F1BA5" w:rsidRDefault="00437BD1" w:rsidP="00437BD1">
      <w:pPr>
        <w:autoSpaceDE w:val="0"/>
        <w:autoSpaceDN w:val="0"/>
        <w:adjustRightInd w:val="0"/>
        <w:spacing w:line="264" w:lineRule="auto"/>
        <w:ind w:firstLine="851"/>
        <w:jc w:val="both"/>
      </w:pPr>
      <w:r w:rsidRPr="000F1BA5">
        <w:lastRenderedPageBreak/>
        <w:t>Už PSDF biudžetui padarytą žalą iš juridinių asmenų išieškotinos sumos registruojamos Vilniaus TLK fondo apskaitoje pagal žalą įrodančius dokumentus žalos nustatymo dieną dokumente nurodyta verte. Juridinio asmens padarytos žalos atveju išieškotinos sumos registravimo pagrindas yra ekspertizės pažyma.</w:t>
      </w:r>
    </w:p>
    <w:p w14:paraId="52259489" w14:textId="77777777" w:rsidR="00437BD1" w:rsidRPr="000F1BA5" w:rsidRDefault="00437BD1" w:rsidP="00437BD1">
      <w:pPr>
        <w:autoSpaceDE w:val="0"/>
        <w:autoSpaceDN w:val="0"/>
        <w:adjustRightInd w:val="0"/>
        <w:spacing w:line="264" w:lineRule="auto"/>
        <w:ind w:firstLine="851"/>
        <w:jc w:val="both"/>
      </w:pPr>
      <w:r w:rsidRPr="000F1BA5">
        <w:t>Už kompensuojamųjų vaistų pasų pakartotinį išdavimą gautinos sumos registruojamos Vilniaus TLK fonde pagal informaciją, gautą iš gydymo įstaigų. Kartu registruojama sukaupta mokėtina suma ir pervestinos pajamos.</w:t>
      </w:r>
    </w:p>
    <w:p w14:paraId="06C03D4A" w14:textId="77777777" w:rsidR="00437BD1" w:rsidRPr="000F1BA5" w:rsidRDefault="00437BD1" w:rsidP="000F1BA5">
      <w:pPr>
        <w:pStyle w:val="Pagrindinistekstas1"/>
        <w:shd w:val="clear" w:color="auto" w:fill="auto"/>
        <w:tabs>
          <w:tab w:val="left" w:pos="709"/>
          <w:tab w:val="left" w:pos="1134"/>
        </w:tabs>
        <w:spacing w:before="0" w:line="264" w:lineRule="auto"/>
        <w:ind w:firstLine="851"/>
        <w:jc w:val="both"/>
        <w:rPr>
          <w:rFonts w:ascii="Times New Roman" w:hAnsi="Times New Roman"/>
          <w:sz w:val="24"/>
          <w:szCs w:val="24"/>
        </w:rPr>
      </w:pPr>
      <w:r w:rsidRPr="000F1BA5">
        <w:rPr>
          <w:rFonts w:ascii="Times New Roman" w:hAnsi="Times New Roman"/>
          <w:bCs/>
          <w:sz w:val="24"/>
          <w:szCs w:val="24"/>
        </w:rPr>
        <w:t xml:space="preserve">Pinigai – pinigai, esantys bankų sąskaitose. </w:t>
      </w:r>
      <w:r w:rsidRPr="000F1BA5">
        <w:rPr>
          <w:rFonts w:ascii="Times New Roman" w:hAnsi="Times New Roman"/>
          <w:sz w:val="24"/>
          <w:szCs w:val="24"/>
        </w:rPr>
        <w:t xml:space="preserve">Pinigai ir pinigų ekvivalentai Vilniaus TLK fondo apskaitoje registruojami gavus finansavimo sumas ar gavus gautinų sumų įplaukas. </w:t>
      </w:r>
    </w:p>
    <w:p w14:paraId="17FBFA7B" w14:textId="77777777" w:rsidR="00437BD1" w:rsidRPr="000F1BA5" w:rsidRDefault="00437BD1" w:rsidP="000F1BA5">
      <w:pPr>
        <w:pStyle w:val="ListParagraph1"/>
        <w:tabs>
          <w:tab w:val="num" w:pos="709"/>
          <w:tab w:val="left" w:pos="1276"/>
        </w:tabs>
        <w:autoSpaceDE w:val="0"/>
        <w:autoSpaceDN w:val="0"/>
        <w:adjustRightInd w:val="0"/>
        <w:spacing w:line="264" w:lineRule="auto"/>
        <w:ind w:left="0" w:firstLine="851"/>
        <w:jc w:val="both"/>
        <w:rPr>
          <w:rFonts w:ascii="Times New Roman" w:hAnsi="Times New Roman"/>
        </w:rPr>
      </w:pPr>
      <w:r w:rsidRPr="000F1BA5">
        <w:rPr>
          <w:rFonts w:ascii="Times New Roman" w:hAnsi="Times New Roman"/>
          <w:lang w:eastAsia="en-US"/>
        </w:rPr>
        <w:t>Pinigų ir pinigų ekvivalentų sumažėjimas registruojamas, kai grąžinami įsipareigojimai, pervedamos perduodamo finansavimo sumos, grąžinamos gautos permokos, pervedamos socialinių išmokų sumos, grąžinamos finansavimo sumos.</w:t>
      </w:r>
    </w:p>
    <w:p w14:paraId="38C4F5CF" w14:textId="77777777" w:rsidR="00437BD1" w:rsidRPr="000F1BA5" w:rsidRDefault="00437BD1" w:rsidP="000F1BA5">
      <w:pPr>
        <w:spacing w:line="264" w:lineRule="auto"/>
        <w:ind w:firstLine="851"/>
        <w:jc w:val="both"/>
      </w:pPr>
      <w:r w:rsidRPr="000F1BA5">
        <w:t xml:space="preserve">Vilniaus TLK fondo apskaitoje visi finansiniai įsipareigojimai yra skirstomi į ilgalaikius ir trumpalaikius. </w:t>
      </w:r>
    </w:p>
    <w:p w14:paraId="7716D7B8" w14:textId="77777777" w:rsidR="00437BD1" w:rsidRPr="000F1BA5" w:rsidRDefault="00437BD1" w:rsidP="00437BD1">
      <w:pPr>
        <w:spacing w:line="264" w:lineRule="auto"/>
        <w:ind w:firstLine="851"/>
        <w:jc w:val="both"/>
      </w:pPr>
      <w:r w:rsidRPr="000F1BA5">
        <w:t>Ilgalaikiams finansiniams įsipareigojimams priskiriami ilgalaikiai atidėjiniai.</w:t>
      </w:r>
    </w:p>
    <w:p w14:paraId="425E9FA9" w14:textId="77777777" w:rsidR="00437BD1" w:rsidRPr="000F1BA5" w:rsidRDefault="00437BD1" w:rsidP="00437BD1">
      <w:pPr>
        <w:spacing w:line="264" w:lineRule="auto"/>
        <w:ind w:firstLine="851"/>
        <w:jc w:val="both"/>
      </w:pPr>
      <w:r w:rsidRPr="000F1BA5">
        <w:t>Trumpalaikiams finansiniams įsipareigojimams priskiriami:</w:t>
      </w:r>
    </w:p>
    <w:p w14:paraId="431FECF0" w14:textId="6B3F70B6" w:rsidR="00437BD1" w:rsidRPr="000F1BA5" w:rsidRDefault="00437BD1" w:rsidP="00437BD1">
      <w:pPr>
        <w:spacing w:line="264" w:lineRule="auto"/>
        <w:ind w:firstLine="851"/>
        <w:jc w:val="both"/>
      </w:pPr>
      <w:r w:rsidRPr="000F1BA5">
        <w:t xml:space="preserve">- ilgalaikių atidėjinių einamųjų metų dalis ir trumpalaikiai </w:t>
      </w:r>
      <w:r w:rsidR="000F1BA5" w:rsidRPr="000F1BA5">
        <w:t>atidėjiniai.</w:t>
      </w:r>
    </w:p>
    <w:p w14:paraId="3AD18529" w14:textId="77777777" w:rsidR="00437BD1" w:rsidRPr="000F1BA5" w:rsidRDefault="00437BD1" w:rsidP="00437BD1">
      <w:pPr>
        <w:pStyle w:val="Hyperlink1"/>
        <w:tabs>
          <w:tab w:val="left" w:pos="709"/>
        </w:tabs>
        <w:spacing w:line="264" w:lineRule="auto"/>
        <w:ind w:firstLine="851"/>
        <w:rPr>
          <w:rFonts w:ascii="Times New Roman" w:hAnsi="Times New Roman" w:cs="Times New Roman"/>
          <w:color w:val="auto"/>
          <w:sz w:val="24"/>
          <w:szCs w:val="24"/>
          <w:lang w:val="lt-LT"/>
        </w:rPr>
      </w:pPr>
      <w:r w:rsidRPr="000F1BA5">
        <w:rPr>
          <w:rFonts w:ascii="Times New Roman" w:hAnsi="Times New Roman" w:cs="Times New Roman"/>
          <w:color w:val="auto"/>
          <w:sz w:val="24"/>
          <w:szCs w:val="24"/>
          <w:lang w:val="lt-LT"/>
        </w:rPr>
        <w:t>- kitos pervestinos sumos;</w:t>
      </w:r>
    </w:p>
    <w:p w14:paraId="12EE44CC" w14:textId="77777777" w:rsidR="00437BD1" w:rsidRPr="000F1BA5" w:rsidRDefault="00437BD1" w:rsidP="00437BD1">
      <w:pPr>
        <w:pStyle w:val="Hyperlink1"/>
        <w:tabs>
          <w:tab w:val="left" w:pos="709"/>
        </w:tabs>
        <w:spacing w:line="264" w:lineRule="auto"/>
        <w:ind w:firstLine="851"/>
        <w:rPr>
          <w:rFonts w:ascii="Times New Roman" w:hAnsi="Times New Roman" w:cs="Times New Roman"/>
          <w:color w:val="auto"/>
          <w:sz w:val="24"/>
          <w:szCs w:val="24"/>
          <w:lang w:val="lt-LT"/>
        </w:rPr>
      </w:pPr>
      <w:r w:rsidRPr="000F1BA5">
        <w:rPr>
          <w:rFonts w:ascii="Times New Roman" w:hAnsi="Times New Roman" w:cs="Times New Roman"/>
          <w:color w:val="auto"/>
          <w:sz w:val="24"/>
          <w:szCs w:val="24"/>
          <w:lang w:val="lt-LT"/>
        </w:rPr>
        <w:t>- grąžintinos finansavimo sumos;</w:t>
      </w:r>
    </w:p>
    <w:p w14:paraId="59D203D9" w14:textId="77777777" w:rsidR="00437BD1" w:rsidRPr="000F1BA5" w:rsidRDefault="00437BD1" w:rsidP="00437BD1">
      <w:pPr>
        <w:pStyle w:val="Hyperlink1"/>
        <w:tabs>
          <w:tab w:val="left" w:pos="709"/>
        </w:tabs>
        <w:spacing w:line="264" w:lineRule="auto"/>
        <w:ind w:firstLine="851"/>
        <w:rPr>
          <w:rFonts w:ascii="Times New Roman" w:hAnsi="Times New Roman" w:cs="Times New Roman"/>
          <w:color w:val="auto"/>
          <w:sz w:val="24"/>
          <w:szCs w:val="24"/>
          <w:lang w:val="lt-LT"/>
        </w:rPr>
      </w:pPr>
      <w:r w:rsidRPr="000F1BA5">
        <w:rPr>
          <w:rFonts w:ascii="Times New Roman" w:hAnsi="Times New Roman" w:cs="Times New Roman"/>
          <w:color w:val="auto"/>
          <w:sz w:val="24"/>
          <w:szCs w:val="24"/>
          <w:lang w:val="lt-LT"/>
        </w:rPr>
        <w:t>- mokėtinos socialinių išmokų sumos;</w:t>
      </w:r>
    </w:p>
    <w:p w14:paraId="68EA8F72" w14:textId="77777777" w:rsidR="00437BD1" w:rsidRPr="000F1BA5" w:rsidRDefault="00437BD1" w:rsidP="00437BD1">
      <w:pPr>
        <w:pStyle w:val="Hyperlink1"/>
        <w:tabs>
          <w:tab w:val="left" w:pos="1260"/>
        </w:tabs>
        <w:spacing w:line="264" w:lineRule="auto"/>
        <w:ind w:firstLine="851"/>
        <w:rPr>
          <w:rFonts w:ascii="Times New Roman" w:hAnsi="Times New Roman" w:cs="Times New Roman"/>
          <w:color w:val="auto"/>
          <w:sz w:val="24"/>
          <w:szCs w:val="24"/>
          <w:lang w:val="lt-LT"/>
        </w:rPr>
      </w:pPr>
      <w:r w:rsidRPr="000F1BA5">
        <w:rPr>
          <w:rFonts w:ascii="Times New Roman" w:hAnsi="Times New Roman" w:cs="Times New Roman"/>
          <w:color w:val="auto"/>
          <w:sz w:val="24"/>
          <w:szCs w:val="24"/>
          <w:lang w:val="lt-LT"/>
        </w:rPr>
        <w:t>- gauti išankstiniai mokėjimai;</w:t>
      </w:r>
    </w:p>
    <w:p w14:paraId="098DECAC" w14:textId="77777777" w:rsidR="00437BD1" w:rsidRPr="000F1BA5" w:rsidRDefault="00437BD1" w:rsidP="00437BD1">
      <w:pPr>
        <w:pStyle w:val="Hyperlink1"/>
        <w:tabs>
          <w:tab w:val="left" w:pos="1260"/>
        </w:tabs>
        <w:spacing w:line="264" w:lineRule="auto"/>
        <w:ind w:firstLine="851"/>
        <w:rPr>
          <w:rFonts w:ascii="Times New Roman" w:hAnsi="Times New Roman" w:cs="Times New Roman"/>
          <w:color w:val="auto"/>
          <w:sz w:val="24"/>
          <w:szCs w:val="24"/>
          <w:lang w:val="lt-LT"/>
        </w:rPr>
      </w:pPr>
      <w:r w:rsidRPr="000F1BA5">
        <w:rPr>
          <w:rFonts w:ascii="Times New Roman" w:hAnsi="Times New Roman" w:cs="Times New Roman"/>
          <w:color w:val="auto"/>
          <w:sz w:val="24"/>
          <w:szCs w:val="24"/>
          <w:lang w:val="lt-LT"/>
        </w:rPr>
        <w:t>- kiti trumpalaikiai įsipareigojimai.</w:t>
      </w:r>
    </w:p>
    <w:p w14:paraId="24BD3750"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Įsipareigojimai registruojami apskaitoje ūkinės operacijos ar ūkinio įvykio dieną pagal sąskaitas faktūras, perdavimo ir priėmimo aktus, žiniaraščius, pažymas ar kitus juos pagrindžiančius dokumentus.</w:t>
      </w:r>
    </w:p>
    <w:p w14:paraId="09FFADB7" w14:textId="77777777" w:rsidR="00437BD1" w:rsidRPr="000F1BA5" w:rsidRDefault="00437BD1" w:rsidP="000F1BA5">
      <w:pPr>
        <w:pStyle w:val="ListParagraph1"/>
        <w:tabs>
          <w:tab w:val="num" w:pos="709"/>
          <w:tab w:val="left" w:pos="1276"/>
        </w:tabs>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rPr>
        <w:t>Mokėtinos sumos asmens sveikatos priežiūros įstaigoms ir kitos socialinės išmokos Vilniaus TLK fondo apskaitoje registruojamos pagal šių įstaigų pateiktas sąskaitas ar biudžeto vykdymo ataskaitas.</w:t>
      </w:r>
    </w:p>
    <w:p w14:paraId="30B7FB0E" w14:textId="77777777" w:rsidR="00437BD1" w:rsidRPr="000F1BA5" w:rsidRDefault="00437BD1" w:rsidP="000F1BA5">
      <w:pPr>
        <w:pStyle w:val="ListParagraph1"/>
        <w:tabs>
          <w:tab w:val="num" w:pos="709"/>
          <w:tab w:val="left" w:pos="1276"/>
        </w:tabs>
        <w:autoSpaceDE w:val="0"/>
        <w:autoSpaceDN w:val="0"/>
        <w:adjustRightInd w:val="0"/>
        <w:spacing w:line="264" w:lineRule="auto"/>
        <w:ind w:left="0" w:firstLine="851"/>
        <w:jc w:val="both"/>
        <w:rPr>
          <w:rFonts w:ascii="Times New Roman" w:hAnsi="Times New Roman"/>
          <w:lang w:eastAsia="en-US"/>
        </w:rPr>
      </w:pPr>
      <w:r w:rsidRPr="000F1BA5">
        <w:rPr>
          <w:rFonts w:ascii="Times New Roman" w:hAnsi="Times New Roman"/>
        </w:rPr>
        <w:t>Apskaitoje registruojamas įsipareigojimų sumažėjimas, kai įsipareigojimas yra apmokamas.</w:t>
      </w:r>
    </w:p>
    <w:p w14:paraId="1D271D0F" w14:textId="77777777" w:rsidR="00437BD1" w:rsidRPr="000F1BA5" w:rsidRDefault="00437BD1" w:rsidP="000F1BA5">
      <w:pPr>
        <w:pStyle w:val="ListParagraph1"/>
        <w:tabs>
          <w:tab w:val="num" w:pos="709"/>
          <w:tab w:val="left" w:pos="1276"/>
        </w:tabs>
        <w:autoSpaceDE w:val="0"/>
        <w:autoSpaceDN w:val="0"/>
        <w:adjustRightInd w:val="0"/>
        <w:spacing w:line="264" w:lineRule="auto"/>
        <w:ind w:left="0" w:firstLine="851"/>
        <w:jc w:val="both"/>
        <w:rPr>
          <w:rFonts w:ascii="Times New Roman" w:hAnsi="Times New Roman"/>
        </w:rPr>
      </w:pPr>
      <w:r w:rsidRPr="000F1BA5">
        <w:rPr>
          <w:rFonts w:ascii="Times New Roman" w:hAnsi="Times New Roman"/>
        </w:rPr>
        <w:t xml:space="preserve">Pervestinos sumos (iš teritorinės ligonių kasos fondo į Valstybinės ligonių kasos prie SAM fondą) registruojamos remiantis banko išrašu tuo momentu, kai Vilniaus TLK fondui sumokama už kitas pajamas. </w:t>
      </w:r>
    </w:p>
    <w:p w14:paraId="00927B2E" w14:textId="77777777" w:rsidR="00437BD1" w:rsidRPr="000F1BA5" w:rsidRDefault="00437BD1" w:rsidP="00437BD1">
      <w:pPr>
        <w:pStyle w:val="Hyperlink1"/>
        <w:tabs>
          <w:tab w:val="left" w:pos="1260"/>
        </w:tabs>
        <w:spacing w:line="264" w:lineRule="auto"/>
        <w:ind w:firstLine="851"/>
        <w:rPr>
          <w:rFonts w:ascii="Times New Roman" w:hAnsi="Times New Roman" w:cs="Times New Roman"/>
          <w:sz w:val="24"/>
          <w:szCs w:val="24"/>
          <w:lang w:val="lt-LT"/>
        </w:rPr>
      </w:pPr>
    </w:p>
    <w:p w14:paraId="0E8C4611" w14:textId="77777777" w:rsidR="00437BD1" w:rsidRPr="000F1BA5" w:rsidRDefault="00437BD1" w:rsidP="00437BD1">
      <w:pPr>
        <w:pStyle w:val="Temosantrat30"/>
        <w:keepNext/>
        <w:keepLines/>
        <w:spacing w:before="0" w:line="264" w:lineRule="auto"/>
        <w:jc w:val="center"/>
        <w:rPr>
          <w:rFonts w:ascii="Times New Roman" w:hAnsi="Times New Roman"/>
          <w:b/>
          <w:sz w:val="24"/>
          <w:szCs w:val="24"/>
        </w:rPr>
      </w:pPr>
      <w:r w:rsidRPr="000F1BA5">
        <w:rPr>
          <w:rFonts w:ascii="Times New Roman" w:hAnsi="Times New Roman"/>
          <w:b/>
          <w:sz w:val="24"/>
          <w:szCs w:val="24"/>
        </w:rPr>
        <w:t>7. Atsargos</w:t>
      </w:r>
    </w:p>
    <w:p w14:paraId="3668B00D" w14:textId="77777777" w:rsidR="00437BD1" w:rsidRPr="000F1BA5" w:rsidRDefault="00437BD1" w:rsidP="00437BD1">
      <w:pPr>
        <w:pStyle w:val="Temosantrat30"/>
        <w:keepNext/>
        <w:keepLines/>
        <w:spacing w:before="0" w:line="264" w:lineRule="auto"/>
        <w:ind w:firstLine="851"/>
        <w:jc w:val="both"/>
        <w:rPr>
          <w:rFonts w:ascii="Times New Roman" w:hAnsi="Times New Roman"/>
          <w:b/>
          <w:sz w:val="24"/>
          <w:szCs w:val="24"/>
        </w:rPr>
      </w:pPr>
    </w:p>
    <w:p w14:paraId="6936B8B3"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color w:val="000000" w:themeColor="text1"/>
          <w:sz w:val="24"/>
          <w:szCs w:val="24"/>
        </w:rPr>
        <w:t xml:space="preserve">Vilniaus TLK </w:t>
      </w:r>
      <w:r w:rsidRPr="000F1BA5">
        <w:rPr>
          <w:rFonts w:ascii="Times New Roman" w:hAnsi="Times New Roman"/>
          <w:sz w:val="24"/>
          <w:szCs w:val="24"/>
        </w:rPr>
        <w:t>administruojamo Privalomojo sveikatos draudimo fondo apskaitoje atsargų nėra.</w:t>
      </w:r>
    </w:p>
    <w:p w14:paraId="7358A89B" w14:textId="77777777" w:rsidR="00437BD1" w:rsidRPr="000F1BA5" w:rsidRDefault="00437BD1" w:rsidP="00437BD1">
      <w:pPr>
        <w:pStyle w:val="Pagrindinistekstas41"/>
        <w:spacing w:line="264" w:lineRule="auto"/>
        <w:ind w:firstLine="851"/>
        <w:jc w:val="both"/>
        <w:rPr>
          <w:sz w:val="24"/>
          <w:szCs w:val="24"/>
        </w:rPr>
      </w:pPr>
    </w:p>
    <w:p w14:paraId="2B492CA2" w14:textId="77777777" w:rsidR="00437BD1" w:rsidRPr="000F1BA5" w:rsidRDefault="00437BD1" w:rsidP="000F1BA5">
      <w:pPr>
        <w:pStyle w:val="Paragrafas1"/>
        <w:numPr>
          <w:ilvl w:val="0"/>
          <w:numId w:val="0"/>
        </w:numPr>
        <w:tabs>
          <w:tab w:val="left" w:pos="993"/>
        </w:tabs>
        <w:spacing w:before="0" w:line="264" w:lineRule="auto"/>
        <w:jc w:val="center"/>
        <w:rPr>
          <w:rFonts w:ascii="Times New Roman" w:hAnsi="Times New Roman"/>
          <w:color w:val="auto"/>
          <w:lang w:val="lt-LT"/>
        </w:rPr>
      </w:pPr>
      <w:r w:rsidRPr="000F1BA5">
        <w:rPr>
          <w:rFonts w:ascii="Times New Roman" w:hAnsi="Times New Roman"/>
          <w:b/>
          <w:color w:val="auto"/>
          <w:lang w:val="lt-LT"/>
        </w:rPr>
        <w:t>8.</w:t>
      </w:r>
      <w:r w:rsidRPr="000F1BA5">
        <w:rPr>
          <w:rFonts w:ascii="Times New Roman" w:hAnsi="Times New Roman"/>
          <w:color w:val="auto"/>
          <w:lang w:val="lt-LT"/>
        </w:rPr>
        <w:t xml:space="preserve"> </w:t>
      </w:r>
      <w:r w:rsidRPr="000F1BA5">
        <w:rPr>
          <w:rFonts w:ascii="Times New Roman" w:hAnsi="Times New Roman"/>
          <w:b/>
          <w:color w:val="auto"/>
          <w:lang w:val="lt-LT"/>
        </w:rPr>
        <w:t xml:space="preserve"> Finansavimo sumos</w:t>
      </w:r>
    </w:p>
    <w:p w14:paraId="3142131A" w14:textId="77777777" w:rsidR="00437BD1" w:rsidRPr="000F1BA5" w:rsidRDefault="00437BD1" w:rsidP="000F1BA5">
      <w:pPr>
        <w:pStyle w:val="Paragrafas1"/>
        <w:numPr>
          <w:ilvl w:val="0"/>
          <w:numId w:val="0"/>
        </w:numPr>
        <w:tabs>
          <w:tab w:val="left" w:pos="993"/>
        </w:tabs>
        <w:spacing w:before="0" w:line="264" w:lineRule="auto"/>
        <w:rPr>
          <w:rFonts w:ascii="Times New Roman" w:hAnsi="Times New Roman"/>
          <w:color w:val="auto"/>
          <w:lang w:val="lt-LT"/>
        </w:rPr>
      </w:pPr>
    </w:p>
    <w:p w14:paraId="4EE39487"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Finansavimo sumos pripažįstamos, kai atitinka VSAFAS nustatytus kriterijus. Finansavimo sumos – tai iš Privalomojo sveikatos draudimo fondo biudžeto gautos arba gautinos lėšos Vilniaus TLK nuostatuose nustatytiems tikslams ir programoms įgyvendinti.</w:t>
      </w:r>
    </w:p>
    <w:p w14:paraId="0BC5CED8"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Administruojamo Privalomojo sveikatos draudimo fondo apskaitoje Vilniaus TLK registruoja gautinas, gautas, perduotas finansavimo sumas ir finansavimo pajamas.</w:t>
      </w:r>
    </w:p>
    <w:p w14:paraId="3E9CF91A"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lastRenderedPageBreak/>
        <w:t>Visos administruojamo Privalomojo sveikatos draudimo fondo gautos (gautinos) finansavimo sumos pagal paskirtį priskiriamos prie finansavimo sumų kitoms išlaidoms kompensuoti.</w:t>
      </w:r>
    </w:p>
    <w:p w14:paraId="270D42F9"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Vilniaus TLK iš administruojamo Privalomojo sveikatos draudimo fondo finansavimo neteikia ir finansavimo sąnaudų neregistruoja.</w:t>
      </w:r>
    </w:p>
    <w:p w14:paraId="42CF0CD8"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Gautos (gautinos) ir panaudotos finansavimo sumos arba jų dalis pripažįstamos finansavimo pajamomis tais laikotarpiais, kuriais patiriamos su finansavimo sumomis susijusios administruojamo Privalomojo sveikatos draudimo fondo sąnaudos.</w:t>
      </w:r>
    </w:p>
    <w:p w14:paraId="1C2C91C3"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Gautos ir perduotos kitiems viešojo sektoriaus subjektams finansavimo sumos Vilniaus TLK sąnaudomis nepripažįstamos. Perdavus finansavimo sumas kitiems subjektams ir jiems atsiskaičius už lėšų panaudojimą, mažinamos gautos finansavimo sumos ir registruojamos perduotos finansavimo sumos.</w:t>
      </w:r>
    </w:p>
    <w:p w14:paraId="62193ED3" w14:textId="77777777" w:rsidR="00823C01" w:rsidRPr="000F1BA5" w:rsidRDefault="00823C01" w:rsidP="00437BD1">
      <w:pPr>
        <w:pStyle w:val="Pagrindinistekstas1"/>
        <w:shd w:val="clear" w:color="auto" w:fill="auto"/>
        <w:spacing w:before="0" w:line="264" w:lineRule="auto"/>
        <w:ind w:firstLine="851"/>
        <w:jc w:val="both"/>
        <w:rPr>
          <w:rFonts w:ascii="Times New Roman" w:hAnsi="Times New Roman"/>
          <w:b/>
          <w:sz w:val="24"/>
          <w:szCs w:val="24"/>
        </w:rPr>
      </w:pPr>
    </w:p>
    <w:p w14:paraId="6AEA419E" w14:textId="77777777" w:rsidR="00437BD1" w:rsidRPr="000F1BA5" w:rsidRDefault="00437BD1" w:rsidP="00437BD1">
      <w:pPr>
        <w:pStyle w:val="Pagrindinistekstas1"/>
        <w:shd w:val="clear" w:color="auto" w:fill="auto"/>
        <w:spacing w:before="0" w:line="264" w:lineRule="auto"/>
        <w:rPr>
          <w:rFonts w:ascii="Times New Roman" w:hAnsi="Times New Roman"/>
          <w:b/>
          <w:sz w:val="24"/>
          <w:szCs w:val="24"/>
        </w:rPr>
      </w:pPr>
      <w:r w:rsidRPr="000F1BA5">
        <w:rPr>
          <w:rFonts w:ascii="Times New Roman" w:hAnsi="Times New Roman"/>
          <w:b/>
          <w:sz w:val="24"/>
          <w:szCs w:val="24"/>
        </w:rPr>
        <w:t>9. Atidėjiniai ir neapibrėžtieji įsipareigojimai</w:t>
      </w:r>
    </w:p>
    <w:p w14:paraId="37E43253"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sz w:val="24"/>
          <w:szCs w:val="24"/>
        </w:rPr>
      </w:pPr>
    </w:p>
    <w:p w14:paraId="486B7198" w14:textId="77777777" w:rsidR="00437BD1" w:rsidRPr="000F1BA5" w:rsidRDefault="00437BD1" w:rsidP="00437BD1">
      <w:pPr>
        <w:autoSpaceDE w:val="0"/>
        <w:autoSpaceDN w:val="0"/>
        <w:adjustRightInd w:val="0"/>
        <w:spacing w:line="264" w:lineRule="auto"/>
        <w:ind w:firstLine="851"/>
        <w:jc w:val="both"/>
        <w:rPr>
          <w:rFonts w:eastAsia="TimesNewRomanPSMT"/>
        </w:rPr>
      </w:pPr>
      <w:r w:rsidRPr="000F1BA5">
        <w:rPr>
          <w:rFonts w:eastAsia="TimesNewRomanPSMT"/>
        </w:rPr>
        <w:t>Neapibrėžtųjų įsipareigojimų ir neapibrėžtojo turto apskaitos principai nustatyti 18-ajame VSAFAS „Atidėjiniai, neapibrėžtieji įsipareigojimai, neapibrėžtasis turtas ir po ataskaitiniai įvykiai“.</w:t>
      </w:r>
    </w:p>
    <w:p w14:paraId="5CF1AD15" w14:textId="77777777" w:rsidR="00437BD1" w:rsidRPr="000F1BA5" w:rsidRDefault="00437BD1" w:rsidP="00437BD1">
      <w:pPr>
        <w:autoSpaceDE w:val="0"/>
        <w:autoSpaceDN w:val="0"/>
        <w:adjustRightInd w:val="0"/>
        <w:spacing w:line="264" w:lineRule="auto"/>
        <w:ind w:firstLine="851"/>
        <w:jc w:val="both"/>
        <w:rPr>
          <w:rFonts w:eastAsia="TimesNewRomanPSMT"/>
        </w:rPr>
      </w:pPr>
      <w:r w:rsidRPr="000F1BA5">
        <w:rPr>
          <w:rFonts w:eastAsia="TimesNewRomanPSMT"/>
        </w:rPr>
        <w:t>Vilniaus TLK ataskaitiniu laikotarpiu atidėjinių nebuvo registruota.</w:t>
      </w:r>
    </w:p>
    <w:p w14:paraId="3E89E8CD" w14:textId="77777777" w:rsidR="00437BD1" w:rsidRPr="000F1BA5" w:rsidRDefault="00437BD1" w:rsidP="00437BD1">
      <w:pPr>
        <w:autoSpaceDE w:val="0"/>
        <w:autoSpaceDN w:val="0"/>
        <w:adjustRightInd w:val="0"/>
        <w:spacing w:line="264" w:lineRule="auto"/>
        <w:ind w:firstLine="851"/>
        <w:jc w:val="both"/>
        <w:rPr>
          <w:rFonts w:eastAsia="TimesNewRomanPSMT"/>
        </w:rPr>
      </w:pPr>
      <w:r w:rsidRPr="000F1BA5">
        <w:rPr>
          <w:rFonts w:eastAsia="TimesNewRomanPSMT"/>
        </w:rPr>
        <w:t xml:space="preserve">Neapibrėžtieji įsipareigojimai nerodomi nei finansinės būklės ataskaitoje, nei veiklos rezultatų ataskaitoje, o informacija apie juos pateikiama aiškinamajame rašte. </w:t>
      </w:r>
    </w:p>
    <w:p w14:paraId="4BB4E912" w14:textId="77777777" w:rsidR="00437BD1" w:rsidRPr="000F1BA5" w:rsidRDefault="00437BD1" w:rsidP="00437BD1">
      <w:pPr>
        <w:autoSpaceDE w:val="0"/>
        <w:autoSpaceDN w:val="0"/>
        <w:adjustRightInd w:val="0"/>
        <w:spacing w:line="264" w:lineRule="auto"/>
        <w:ind w:firstLine="851"/>
        <w:jc w:val="both"/>
        <w:rPr>
          <w:bCs/>
        </w:rPr>
      </w:pPr>
      <w:r w:rsidRPr="000F1BA5">
        <w:rPr>
          <w:rFonts w:eastAsia="Calibri"/>
        </w:rPr>
        <w:t xml:space="preserve">Vilniaus TLK apskaitoje neapibrėžtaisiais įsipareigojimais pripažįstami įsipareigojimai išmokėti kompensacijas apdraustiesiems, įtrauktiems į eilę PSDF lėšomis apmokamoms medicinos pagalbos priemonėms ir sveikatos priežiūros paslaugoms gauti, kai jie, norėdami greičiau gauti šias priemones ar paslaugas, savo lėšomis už jas sumoka, jei pagrįstai tikėtina, kad Valstybinė ligonių kasa prie SAM ir teritorinė ligonių kasa šią teisinę prievolę turės </w:t>
      </w:r>
      <w:r w:rsidRPr="000F1BA5">
        <w:rPr>
          <w:rFonts w:eastAsia="Tahoma"/>
        </w:rPr>
        <w:t xml:space="preserve">padengti turtu, t. y. apdraustajam kompensuoti jo sumokėtą sumą, tačiau nėra galimybės tiksliai nustatyti įsipareigojimo įvykdymo laiko. Neapibrėžtieji įsipareigojimai yra peržiūrimi paskutinę kiekvieno ataskaitinio laikotarpio dieną ir koreguojami atsižvelgiant į naujus įvykius ar aplinkybes, kad parodytų tiksliausią dabartinį įvertinimą. Vilniaus TLK kaupia informaciją apie neapibrėžtuosius įsipareigojimus nebalansinėse sąskaitose. </w:t>
      </w:r>
    </w:p>
    <w:p w14:paraId="765E4741"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Cs/>
          <w:sz w:val="24"/>
          <w:szCs w:val="24"/>
        </w:rPr>
      </w:pPr>
    </w:p>
    <w:p w14:paraId="19E08226" w14:textId="77777777" w:rsidR="00437BD1" w:rsidRPr="000F1BA5" w:rsidRDefault="00437BD1" w:rsidP="00437BD1">
      <w:pPr>
        <w:pStyle w:val="Pagrindinistekstas1"/>
        <w:shd w:val="clear" w:color="auto" w:fill="auto"/>
        <w:spacing w:before="0" w:line="264" w:lineRule="auto"/>
        <w:rPr>
          <w:rFonts w:ascii="Times New Roman" w:hAnsi="Times New Roman"/>
          <w:b/>
          <w:sz w:val="24"/>
          <w:szCs w:val="24"/>
        </w:rPr>
      </w:pPr>
      <w:r w:rsidRPr="000F1BA5">
        <w:rPr>
          <w:rFonts w:ascii="Times New Roman" w:hAnsi="Times New Roman"/>
          <w:b/>
          <w:sz w:val="24"/>
          <w:szCs w:val="24"/>
        </w:rPr>
        <w:t>10. Segmentai</w:t>
      </w:r>
    </w:p>
    <w:p w14:paraId="54EDB742"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sz w:val="24"/>
          <w:szCs w:val="24"/>
        </w:rPr>
      </w:pPr>
    </w:p>
    <w:p w14:paraId="3E9C3572" w14:textId="77777777" w:rsidR="00437BD1" w:rsidRPr="000F1BA5" w:rsidRDefault="00437BD1" w:rsidP="00437BD1">
      <w:pPr>
        <w:tabs>
          <w:tab w:val="left" w:pos="0"/>
        </w:tabs>
        <w:spacing w:line="264" w:lineRule="auto"/>
        <w:ind w:firstLine="851"/>
        <w:jc w:val="both"/>
      </w:pPr>
      <w:r w:rsidRPr="000F1BA5">
        <w:t xml:space="preserve">Segmentai – įstaigos pagrindinės veiklos dalys pagal atliekamas valstybės funkcijas, apimančios vienarūšes įstaigos teikiamas viešąsias paslaugas pagal valstybės funkcijų klasifikaciją. </w:t>
      </w:r>
    </w:p>
    <w:p w14:paraId="09BB216C" w14:textId="77777777" w:rsidR="00437BD1" w:rsidRPr="000F1BA5" w:rsidRDefault="00437BD1" w:rsidP="00437BD1">
      <w:pPr>
        <w:tabs>
          <w:tab w:val="left" w:pos="0"/>
        </w:tabs>
        <w:spacing w:line="264" w:lineRule="auto"/>
        <w:ind w:firstLine="851"/>
        <w:jc w:val="both"/>
      </w:pPr>
      <w:r w:rsidRPr="000F1BA5">
        <w:t>Vilniaus TLK administruojamo Privalomojo sveikatos draudimo fondo apskaitą tvarko pagal segmentus. Apie segmentą atskleidžiama tokia informacija: turtas, finansavimo sumos, įsipareigojimai, pagrindinės veiklos pajamos, pagrindinės veiklos sąnaudos, segmento pagrindinės veiklos pinigų srautai.</w:t>
      </w:r>
    </w:p>
    <w:p w14:paraId="103F24EB" w14:textId="77777777" w:rsidR="00437BD1" w:rsidRPr="000F1BA5" w:rsidRDefault="00437BD1" w:rsidP="00437BD1">
      <w:pPr>
        <w:tabs>
          <w:tab w:val="left" w:pos="0"/>
        </w:tabs>
        <w:spacing w:line="264" w:lineRule="auto"/>
        <w:ind w:firstLine="851"/>
        <w:jc w:val="both"/>
      </w:pPr>
    </w:p>
    <w:p w14:paraId="6AFDD8E4" w14:textId="77777777" w:rsidR="00437BD1" w:rsidRPr="000F1BA5" w:rsidRDefault="00437BD1" w:rsidP="00437BD1">
      <w:pPr>
        <w:pStyle w:val="Temosantrat30"/>
        <w:keepNext/>
        <w:keepLines/>
        <w:spacing w:before="0" w:line="264" w:lineRule="auto"/>
        <w:jc w:val="center"/>
        <w:rPr>
          <w:rFonts w:ascii="Times New Roman" w:hAnsi="Times New Roman"/>
          <w:b/>
          <w:sz w:val="24"/>
          <w:szCs w:val="24"/>
        </w:rPr>
      </w:pPr>
      <w:r w:rsidRPr="000F1BA5">
        <w:rPr>
          <w:rFonts w:ascii="Times New Roman" w:hAnsi="Times New Roman"/>
          <w:b/>
          <w:sz w:val="24"/>
          <w:szCs w:val="24"/>
        </w:rPr>
        <w:t>11. Pajamos</w:t>
      </w:r>
    </w:p>
    <w:p w14:paraId="2776868F" w14:textId="77777777" w:rsidR="00437BD1" w:rsidRPr="000F1BA5" w:rsidRDefault="00437BD1" w:rsidP="00437BD1">
      <w:pPr>
        <w:pStyle w:val="Temosantrat30"/>
        <w:keepNext/>
        <w:keepLines/>
        <w:spacing w:before="0" w:line="264" w:lineRule="auto"/>
        <w:ind w:firstLine="851"/>
        <w:jc w:val="both"/>
        <w:rPr>
          <w:rFonts w:ascii="Times New Roman" w:hAnsi="Times New Roman"/>
          <w:b/>
          <w:sz w:val="24"/>
          <w:szCs w:val="24"/>
        </w:rPr>
      </w:pPr>
    </w:p>
    <w:p w14:paraId="0914ECCD"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Administruojamo Privalomojo sveikatos draudimo fondo apskaitoje registruojamos finansavimo pajamos ir kitos pajamos.</w:t>
      </w:r>
    </w:p>
    <w:p w14:paraId="02CD2794" w14:textId="77777777" w:rsidR="00437BD1" w:rsidRPr="000F1BA5" w:rsidRDefault="00437BD1" w:rsidP="00437BD1">
      <w:pPr>
        <w:pStyle w:val="Pagrindinistekstas1"/>
        <w:shd w:val="clear" w:color="auto" w:fill="auto"/>
        <w:tabs>
          <w:tab w:val="left" w:pos="709"/>
          <w:tab w:val="left" w:pos="851"/>
        </w:tabs>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Finansavimo pajamos – finansavimo sumų, gautų arba gautinų iš visų finansavimo šaltinių, dalis, panaudota per ataskaitinį laikotarpį turėtoms sąnaudoms kompensuoti. Finansavimo </w:t>
      </w:r>
      <w:r w:rsidRPr="000F1BA5">
        <w:rPr>
          <w:rFonts w:ascii="Times New Roman" w:hAnsi="Times New Roman"/>
          <w:sz w:val="24"/>
          <w:szCs w:val="24"/>
        </w:rPr>
        <w:lastRenderedPageBreak/>
        <w:t xml:space="preserve">pajamos pripažįstamos tuo pačiu laikotarpiu, kai yra patiriamos su šiomis pajamomis susijusios sąnaudos. </w:t>
      </w:r>
    </w:p>
    <w:p w14:paraId="13740799"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Kitos pajamos – tai iš juridinių asmenų gautinos įmokos už kompensuojamųjų vaistų pasų pakartotinį išdavimą.</w:t>
      </w:r>
    </w:p>
    <w:p w14:paraId="65544037" w14:textId="77777777" w:rsidR="00437BD1" w:rsidRPr="000F1BA5" w:rsidRDefault="00437BD1" w:rsidP="00437BD1">
      <w:pPr>
        <w:pStyle w:val="Pagrindinistekstas1"/>
        <w:shd w:val="clear" w:color="auto" w:fill="auto"/>
        <w:tabs>
          <w:tab w:val="left" w:pos="709"/>
        </w:tabs>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Registruojant kitas pajamas lygiagrečiai registruojamos debete pervestinos pajamos (Valstybinės ligonių kasos prie SAM fondui). </w:t>
      </w:r>
    </w:p>
    <w:p w14:paraId="6C306155" w14:textId="77777777" w:rsidR="00437BD1" w:rsidRDefault="00437BD1" w:rsidP="00437BD1">
      <w:pPr>
        <w:pStyle w:val="Pagrindinistekstas1"/>
        <w:shd w:val="clear" w:color="auto" w:fill="auto"/>
        <w:tabs>
          <w:tab w:val="left" w:pos="709"/>
        </w:tabs>
        <w:spacing w:before="0" w:line="264" w:lineRule="auto"/>
        <w:ind w:firstLine="851"/>
        <w:jc w:val="both"/>
        <w:rPr>
          <w:rFonts w:ascii="Times New Roman" w:hAnsi="Times New Roman"/>
          <w:sz w:val="24"/>
          <w:szCs w:val="24"/>
        </w:rPr>
      </w:pPr>
    </w:p>
    <w:p w14:paraId="3F0D6813" w14:textId="77777777" w:rsidR="00F61842" w:rsidRPr="000F1BA5" w:rsidRDefault="00F61842" w:rsidP="00437BD1">
      <w:pPr>
        <w:pStyle w:val="Pagrindinistekstas1"/>
        <w:shd w:val="clear" w:color="auto" w:fill="auto"/>
        <w:tabs>
          <w:tab w:val="left" w:pos="709"/>
        </w:tabs>
        <w:spacing w:before="0" w:line="264" w:lineRule="auto"/>
        <w:ind w:firstLine="851"/>
        <w:jc w:val="both"/>
        <w:rPr>
          <w:rFonts w:ascii="Times New Roman" w:hAnsi="Times New Roman"/>
          <w:sz w:val="24"/>
          <w:szCs w:val="24"/>
        </w:rPr>
      </w:pPr>
    </w:p>
    <w:p w14:paraId="1712F48A" w14:textId="77777777" w:rsidR="00437BD1" w:rsidRPr="000F1BA5" w:rsidRDefault="00437BD1" w:rsidP="00437BD1">
      <w:pPr>
        <w:pStyle w:val="Pagrindinistekstas1"/>
        <w:shd w:val="clear" w:color="auto" w:fill="auto"/>
        <w:tabs>
          <w:tab w:val="left" w:pos="709"/>
        </w:tabs>
        <w:spacing w:before="0" w:line="264" w:lineRule="auto"/>
        <w:rPr>
          <w:rFonts w:ascii="Times New Roman" w:hAnsi="Times New Roman"/>
          <w:b/>
          <w:bCs/>
          <w:sz w:val="24"/>
          <w:szCs w:val="24"/>
        </w:rPr>
      </w:pPr>
      <w:r w:rsidRPr="000F1BA5">
        <w:rPr>
          <w:rFonts w:ascii="Times New Roman" w:hAnsi="Times New Roman"/>
          <w:b/>
          <w:bCs/>
          <w:sz w:val="24"/>
          <w:szCs w:val="24"/>
        </w:rPr>
        <w:t>12. Sąnaudos</w:t>
      </w:r>
    </w:p>
    <w:p w14:paraId="4D3C12F2" w14:textId="77777777" w:rsidR="00437BD1" w:rsidRPr="000F1BA5" w:rsidRDefault="00437BD1" w:rsidP="00437BD1">
      <w:pPr>
        <w:pStyle w:val="Pagrindinistekstas1"/>
        <w:shd w:val="clear" w:color="auto" w:fill="auto"/>
        <w:tabs>
          <w:tab w:val="left" w:pos="709"/>
        </w:tabs>
        <w:spacing w:before="0" w:line="264" w:lineRule="auto"/>
        <w:ind w:firstLine="851"/>
        <w:jc w:val="both"/>
        <w:rPr>
          <w:rFonts w:ascii="Times New Roman" w:hAnsi="Times New Roman"/>
          <w:b/>
          <w:bCs/>
          <w:sz w:val="24"/>
          <w:szCs w:val="24"/>
        </w:rPr>
      </w:pPr>
    </w:p>
    <w:p w14:paraId="14AFAC54" w14:textId="77777777" w:rsidR="00437BD1" w:rsidRPr="000F1BA5" w:rsidRDefault="00437BD1" w:rsidP="00437BD1">
      <w:pPr>
        <w:pStyle w:val="Pagrindinistekstas1"/>
        <w:shd w:val="clear" w:color="auto" w:fill="auto"/>
        <w:tabs>
          <w:tab w:val="left" w:pos="709"/>
        </w:tabs>
        <w:spacing w:before="0" w:line="264" w:lineRule="auto"/>
        <w:ind w:firstLine="851"/>
        <w:jc w:val="both"/>
        <w:rPr>
          <w:rFonts w:ascii="Times New Roman" w:hAnsi="Times New Roman"/>
          <w:sz w:val="24"/>
          <w:szCs w:val="24"/>
        </w:rPr>
      </w:pPr>
      <w:r w:rsidRPr="000F1BA5">
        <w:rPr>
          <w:rFonts w:ascii="Times New Roman" w:hAnsi="Times New Roman"/>
          <w:sz w:val="24"/>
          <w:szCs w:val="24"/>
        </w:rPr>
        <w:t>Vilniaus TLK administruojamo Privalomojo sveikatos draudimo fondo sąnaudos priskiriamos socialinių išmokų sąnaudoms. Sąnaudos pripažįstamos ir apskaitoje registruojamos tą ataskaitinį laikotarpį, kurį jos buvo patirtos, neatsižvelgiant į pinigų išleidimo laiką. Sąnaudos apskaitoje registruojamos pagal šiuos dokumentus: sąskaitas faktūras, kitus tiekėjo išrašytus pirminius įsigijimo dokumentus, pažymą, biudžeto panaudojimo ataskaitą ir kt. Sumos išieškotinos iš juridinių asmenų už padarytą žalą PSDF, registruojamos TLK fondo apskaitoje mažinant socialinių išmokų sąnaudas.</w:t>
      </w:r>
    </w:p>
    <w:p w14:paraId="3272C0E6" w14:textId="77777777" w:rsidR="00437BD1" w:rsidRPr="000F1BA5" w:rsidRDefault="00437BD1" w:rsidP="00437BD1">
      <w:pPr>
        <w:pStyle w:val="Temosantrat30"/>
        <w:keepNext/>
        <w:keepLines/>
        <w:tabs>
          <w:tab w:val="left" w:pos="709"/>
        </w:tabs>
        <w:spacing w:before="0" w:line="264" w:lineRule="auto"/>
        <w:ind w:firstLine="851"/>
        <w:jc w:val="both"/>
        <w:rPr>
          <w:rFonts w:ascii="Times New Roman" w:hAnsi="Times New Roman"/>
          <w:sz w:val="24"/>
          <w:szCs w:val="24"/>
        </w:rPr>
      </w:pPr>
      <w:r w:rsidRPr="000F1BA5">
        <w:rPr>
          <w:rFonts w:ascii="Times New Roman" w:hAnsi="Times New Roman"/>
          <w:sz w:val="24"/>
          <w:szCs w:val="24"/>
        </w:rPr>
        <w:t>Administruojamo Privalomojo sveikatos draudimo fondo apskaitoje išskiriamos socialinių išmokų sąnaudos:</w:t>
      </w:r>
    </w:p>
    <w:p w14:paraId="775EFBBD" w14:textId="77777777" w:rsidR="00437BD1" w:rsidRPr="000F1BA5" w:rsidRDefault="00437BD1" w:rsidP="00437BD1">
      <w:pPr>
        <w:pStyle w:val="Temosantrat30"/>
        <w:keepNext/>
        <w:keepLines/>
        <w:spacing w:before="0" w:line="264" w:lineRule="auto"/>
        <w:ind w:firstLine="851"/>
        <w:jc w:val="both"/>
        <w:rPr>
          <w:rFonts w:ascii="Times New Roman" w:hAnsi="Times New Roman"/>
          <w:bCs/>
          <w:color w:val="FF0000"/>
          <w:sz w:val="24"/>
          <w:szCs w:val="24"/>
        </w:rPr>
      </w:pPr>
      <w:r w:rsidRPr="000F1BA5">
        <w:rPr>
          <w:rFonts w:ascii="Times New Roman" w:hAnsi="Times New Roman"/>
          <w:bCs/>
          <w:sz w:val="24"/>
          <w:szCs w:val="24"/>
        </w:rPr>
        <w:t>- asmens sveikatos priežiūros paslaugų išlaidoms apmokėti;</w:t>
      </w:r>
    </w:p>
    <w:p w14:paraId="11EC66BE" w14:textId="77777777" w:rsidR="00437BD1" w:rsidRPr="000F1BA5" w:rsidRDefault="00437BD1" w:rsidP="00437BD1">
      <w:pPr>
        <w:pStyle w:val="Temosantrat30"/>
        <w:keepNext/>
        <w:keepLines/>
        <w:tabs>
          <w:tab w:val="left" w:pos="709"/>
        </w:tabs>
        <w:spacing w:before="0" w:line="264" w:lineRule="auto"/>
        <w:ind w:firstLine="851"/>
        <w:jc w:val="both"/>
        <w:rPr>
          <w:rFonts w:ascii="Times New Roman" w:hAnsi="Times New Roman"/>
          <w:bCs/>
          <w:sz w:val="24"/>
          <w:szCs w:val="24"/>
        </w:rPr>
      </w:pPr>
      <w:r w:rsidRPr="000F1BA5">
        <w:rPr>
          <w:rFonts w:ascii="Times New Roman" w:hAnsi="Times New Roman"/>
          <w:bCs/>
          <w:sz w:val="24"/>
          <w:szCs w:val="24"/>
        </w:rPr>
        <w:t>- sveikatos programoms finansuoti;</w:t>
      </w:r>
    </w:p>
    <w:p w14:paraId="352E3BD9" w14:textId="77777777" w:rsidR="00437BD1" w:rsidRPr="000F1BA5" w:rsidRDefault="00437BD1" w:rsidP="00437BD1">
      <w:pPr>
        <w:pStyle w:val="Temosantrat30"/>
        <w:keepNext/>
        <w:keepLines/>
        <w:tabs>
          <w:tab w:val="left" w:pos="709"/>
        </w:tabs>
        <w:spacing w:before="0" w:line="264" w:lineRule="auto"/>
        <w:ind w:firstLine="851"/>
        <w:jc w:val="both"/>
        <w:rPr>
          <w:rFonts w:ascii="Times New Roman" w:hAnsi="Times New Roman"/>
          <w:bCs/>
          <w:sz w:val="24"/>
          <w:szCs w:val="24"/>
        </w:rPr>
      </w:pPr>
      <w:r w:rsidRPr="000F1BA5">
        <w:rPr>
          <w:rFonts w:ascii="Times New Roman" w:hAnsi="Times New Roman"/>
          <w:bCs/>
          <w:sz w:val="24"/>
          <w:szCs w:val="24"/>
        </w:rPr>
        <w:t xml:space="preserve">- valstybės deleguotoms funkcijoms finansuoti. </w:t>
      </w:r>
    </w:p>
    <w:p w14:paraId="49BACFD8"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p>
    <w:p w14:paraId="1EC46D68" w14:textId="77777777" w:rsidR="00437BD1" w:rsidRPr="000F1BA5" w:rsidRDefault="00437BD1" w:rsidP="00437BD1">
      <w:pPr>
        <w:pStyle w:val="Temosantrat30"/>
        <w:keepNext/>
        <w:keepLines/>
        <w:spacing w:before="0" w:line="264" w:lineRule="auto"/>
        <w:jc w:val="center"/>
        <w:rPr>
          <w:rFonts w:ascii="Times New Roman" w:hAnsi="Times New Roman"/>
          <w:sz w:val="24"/>
          <w:szCs w:val="24"/>
        </w:rPr>
      </w:pPr>
      <w:r w:rsidRPr="000F1BA5">
        <w:rPr>
          <w:rFonts w:ascii="Times New Roman" w:hAnsi="Times New Roman"/>
          <w:b/>
          <w:sz w:val="24"/>
          <w:szCs w:val="24"/>
        </w:rPr>
        <w:t>13. Sandoriai užsienio valiuta</w:t>
      </w:r>
    </w:p>
    <w:p w14:paraId="70A603BF" w14:textId="77777777" w:rsidR="00437BD1" w:rsidRPr="000F1BA5" w:rsidRDefault="00437BD1" w:rsidP="00437BD1">
      <w:pPr>
        <w:pStyle w:val="Temosantrat30"/>
        <w:keepNext/>
        <w:keepLines/>
        <w:spacing w:before="0" w:line="264" w:lineRule="auto"/>
        <w:ind w:firstLine="851"/>
        <w:jc w:val="both"/>
        <w:rPr>
          <w:rFonts w:ascii="Times New Roman" w:hAnsi="Times New Roman"/>
          <w:sz w:val="24"/>
          <w:szCs w:val="24"/>
        </w:rPr>
      </w:pPr>
    </w:p>
    <w:p w14:paraId="2BEAB5D7" w14:textId="77777777" w:rsidR="00437BD1" w:rsidRPr="000F1BA5" w:rsidRDefault="00437BD1" w:rsidP="00437BD1">
      <w:pPr>
        <w:pStyle w:val="Temosantrat30"/>
        <w:keepNext/>
        <w:keepLines/>
        <w:tabs>
          <w:tab w:val="left" w:pos="709"/>
        </w:tabs>
        <w:spacing w:before="0" w:line="264" w:lineRule="auto"/>
        <w:ind w:firstLine="851"/>
        <w:jc w:val="both"/>
        <w:rPr>
          <w:rFonts w:ascii="Times New Roman" w:hAnsi="Times New Roman"/>
          <w:sz w:val="24"/>
          <w:szCs w:val="24"/>
        </w:rPr>
      </w:pPr>
      <w:r w:rsidRPr="000F1BA5">
        <w:rPr>
          <w:rFonts w:ascii="Times New Roman" w:hAnsi="Times New Roman"/>
          <w:sz w:val="24"/>
          <w:szCs w:val="24"/>
        </w:rPr>
        <w:t xml:space="preserve">Sandorių užsienio valiuta nėra. </w:t>
      </w:r>
    </w:p>
    <w:p w14:paraId="664ED1E5" w14:textId="77777777" w:rsidR="00437BD1" w:rsidRPr="000F1BA5" w:rsidRDefault="00437BD1" w:rsidP="00437BD1">
      <w:pPr>
        <w:pStyle w:val="Temosantrat30"/>
        <w:keepNext/>
        <w:keepLines/>
        <w:spacing w:before="0" w:line="264" w:lineRule="auto"/>
        <w:ind w:firstLine="851"/>
        <w:jc w:val="both"/>
        <w:rPr>
          <w:rFonts w:ascii="Times New Roman" w:hAnsi="Times New Roman"/>
          <w:color w:val="C00000"/>
          <w:sz w:val="24"/>
          <w:szCs w:val="24"/>
        </w:rPr>
      </w:pPr>
    </w:p>
    <w:p w14:paraId="78D72165" w14:textId="77777777" w:rsidR="00437BD1" w:rsidRPr="000F1BA5" w:rsidRDefault="00437BD1" w:rsidP="00437BD1">
      <w:pPr>
        <w:pStyle w:val="Temosantrat30"/>
        <w:keepNext/>
        <w:keepLines/>
        <w:spacing w:before="0" w:line="264" w:lineRule="auto"/>
        <w:jc w:val="center"/>
        <w:rPr>
          <w:rFonts w:ascii="Times New Roman" w:hAnsi="Times New Roman"/>
          <w:b/>
          <w:sz w:val="24"/>
          <w:szCs w:val="24"/>
        </w:rPr>
      </w:pPr>
      <w:r w:rsidRPr="000F1BA5">
        <w:rPr>
          <w:rFonts w:ascii="Times New Roman" w:hAnsi="Times New Roman"/>
          <w:b/>
          <w:sz w:val="24"/>
          <w:szCs w:val="24"/>
        </w:rPr>
        <w:t>14. Tarpusavio užskaitos</w:t>
      </w:r>
    </w:p>
    <w:p w14:paraId="70290C69" w14:textId="77777777" w:rsidR="00437BD1" w:rsidRPr="000F1BA5" w:rsidRDefault="00437BD1" w:rsidP="00437BD1">
      <w:pPr>
        <w:pStyle w:val="Temosantrat30"/>
        <w:keepNext/>
        <w:keepLines/>
        <w:spacing w:before="0" w:line="264" w:lineRule="auto"/>
        <w:ind w:firstLine="851"/>
        <w:jc w:val="both"/>
        <w:rPr>
          <w:rFonts w:ascii="Times New Roman" w:hAnsi="Times New Roman"/>
          <w:b/>
          <w:sz w:val="24"/>
          <w:szCs w:val="24"/>
        </w:rPr>
      </w:pPr>
    </w:p>
    <w:p w14:paraId="71CE078F"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Sudarant finansinių ataskaitų rinkinį, turtas ir įsipareigojimai bei pajamos ir sąnaudos nėra įskaitomos tarpusavyje, išskyrus atvejus, kai pagal konkretų VSAFAS reikia būtent tokios užskaitos.</w:t>
      </w:r>
    </w:p>
    <w:p w14:paraId="0804FD0D"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sz w:val="24"/>
          <w:szCs w:val="24"/>
        </w:rPr>
      </w:pPr>
    </w:p>
    <w:p w14:paraId="426C9831" w14:textId="77777777" w:rsidR="00437BD1" w:rsidRPr="000F1BA5" w:rsidRDefault="00437BD1" w:rsidP="00437BD1">
      <w:pPr>
        <w:pStyle w:val="Pagrindinistekstas1"/>
        <w:shd w:val="clear" w:color="auto" w:fill="auto"/>
        <w:spacing w:before="0" w:line="264" w:lineRule="auto"/>
        <w:ind w:firstLine="0"/>
        <w:rPr>
          <w:rFonts w:ascii="Times New Roman" w:hAnsi="Times New Roman"/>
          <w:b/>
          <w:sz w:val="24"/>
          <w:szCs w:val="24"/>
        </w:rPr>
      </w:pPr>
      <w:r w:rsidRPr="000F1BA5">
        <w:rPr>
          <w:rFonts w:ascii="Times New Roman" w:hAnsi="Times New Roman"/>
          <w:b/>
          <w:sz w:val="24"/>
          <w:szCs w:val="24"/>
        </w:rPr>
        <w:t>15. Apskaitos politikos keitimas, apskaitinių įvertinimų keitimo įtaka</w:t>
      </w:r>
    </w:p>
    <w:p w14:paraId="5B1759AE" w14:textId="77777777" w:rsidR="00437BD1" w:rsidRPr="000F1BA5" w:rsidRDefault="00437BD1" w:rsidP="00437BD1">
      <w:pPr>
        <w:pStyle w:val="Pagrindinistekstas1"/>
        <w:shd w:val="clear" w:color="auto" w:fill="auto"/>
        <w:spacing w:before="0" w:line="264" w:lineRule="auto"/>
        <w:ind w:firstLine="0"/>
        <w:rPr>
          <w:rFonts w:ascii="Times New Roman" w:hAnsi="Times New Roman"/>
          <w:b/>
          <w:sz w:val="24"/>
          <w:szCs w:val="24"/>
        </w:rPr>
      </w:pPr>
      <w:r w:rsidRPr="000F1BA5">
        <w:rPr>
          <w:rFonts w:ascii="Times New Roman" w:hAnsi="Times New Roman"/>
          <w:b/>
          <w:sz w:val="24"/>
          <w:szCs w:val="24"/>
        </w:rPr>
        <w:t>ir klaidų taisymas</w:t>
      </w:r>
    </w:p>
    <w:p w14:paraId="29D845CC"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b/>
          <w:sz w:val="24"/>
          <w:szCs w:val="24"/>
        </w:rPr>
      </w:pPr>
    </w:p>
    <w:p w14:paraId="68FA77ED" w14:textId="77777777" w:rsidR="00437BD1" w:rsidRPr="000F1BA5" w:rsidRDefault="00437BD1" w:rsidP="00437BD1">
      <w:pPr>
        <w:pStyle w:val="Pagrindinistekstas1"/>
        <w:shd w:val="clear" w:color="auto" w:fill="auto"/>
        <w:spacing w:before="0" w:line="264" w:lineRule="auto"/>
        <w:ind w:left="20" w:right="20" w:firstLine="851"/>
        <w:jc w:val="both"/>
        <w:rPr>
          <w:rFonts w:ascii="Times New Roman" w:hAnsi="Times New Roman"/>
          <w:sz w:val="24"/>
          <w:szCs w:val="24"/>
        </w:rPr>
      </w:pPr>
      <w:r w:rsidRPr="000F1BA5">
        <w:rPr>
          <w:rFonts w:ascii="Times New Roman" w:hAnsi="Times New Roman"/>
          <w:sz w:val="24"/>
          <w:szCs w:val="24"/>
        </w:rPr>
        <w:t>Vilniaus TLK pasirinktą administruojamo Privalomojo sveikatos draudimo fondo apskaitos politiką taiko nuolat, kad būtų galima palyginti skirtingų ataskaitinių laikotarpių finansines ataskaitas. Tokio palyginimo reikia finansinės būklės, veiklos rezultatų ir pinigų srautų pokyčių tendencijoms nustatyti.</w:t>
      </w:r>
    </w:p>
    <w:p w14:paraId="6BD7B09D" w14:textId="77777777" w:rsidR="00437BD1" w:rsidRPr="000F1BA5" w:rsidRDefault="00437BD1" w:rsidP="00437BD1">
      <w:pPr>
        <w:pStyle w:val="Pagrindinistekstas1"/>
        <w:shd w:val="clear" w:color="auto" w:fill="auto"/>
        <w:spacing w:before="0" w:line="264" w:lineRule="auto"/>
        <w:ind w:left="20" w:right="20" w:firstLine="851"/>
        <w:jc w:val="both"/>
        <w:rPr>
          <w:rFonts w:ascii="Times New Roman" w:hAnsi="Times New Roman"/>
          <w:sz w:val="24"/>
          <w:szCs w:val="24"/>
        </w:rPr>
      </w:pPr>
      <w:r w:rsidRPr="000F1BA5">
        <w:rPr>
          <w:rFonts w:ascii="Times New Roman" w:hAnsi="Times New Roman"/>
          <w:sz w:val="24"/>
          <w:szCs w:val="24"/>
        </w:rPr>
        <w:t>Apskaitos politika pasirenkama ir taikoma remiantis nuostatomis, nustatytomis 1-ajame VSAFAS „Finansinių ataskaitų rinkinio pateikimas“. Ūkinių operacijų bei ūkinių įvykių pripažinimo, apskaitos ar dėl jų atsirandančio turto, įsipareigojimų, finansavimo sumų, pajamų ir (arba) sąnaudų vertinimo apskaitos dokumentuose pakeitimas yra laikomas apskaitos politikos keitimu.</w:t>
      </w:r>
    </w:p>
    <w:p w14:paraId="4C9F57FE" w14:textId="77777777" w:rsidR="00437BD1" w:rsidRPr="000F1BA5" w:rsidRDefault="00437BD1" w:rsidP="00437BD1">
      <w:pPr>
        <w:pStyle w:val="Pagrindinistekstas1"/>
        <w:shd w:val="clear" w:color="auto" w:fill="auto"/>
        <w:spacing w:before="0" w:line="264" w:lineRule="auto"/>
        <w:ind w:left="20" w:right="20" w:firstLine="851"/>
        <w:jc w:val="both"/>
        <w:rPr>
          <w:rFonts w:ascii="Times New Roman" w:hAnsi="Times New Roman"/>
          <w:sz w:val="24"/>
          <w:szCs w:val="24"/>
        </w:rPr>
      </w:pPr>
      <w:r w:rsidRPr="000F1BA5">
        <w:rPr>
          <w:rFonts w:ascii="Times New Roman" w:hAnsi="Times New Roman"/>
          <w:sz w:val="24"/>
          <w:szCs w:val="24"/>
        </w:rPr>
        <w:t xml:space="preserve">Apskaitos politika keičiama dėl VSAFAS pasikeitimo arba jei to reikia pagal kitus teisės aktus. Apskaitos politikos keitimas finansinėse ataskaitose fiksuojamas taikant retrospektyvinį būdą, t. y. nauja apskaitos politika taikoma taip, lyg ji visada būtų buvusi naudojama, todėl </w:t>
      </w:r>
      <w:r w:rsidRPr="000F1BA5">
        <w:rPr>
          <w:rFonts w:ascii="Times New Roman" w:hAnsi="Times New Roman"/>
          <w:sz w:val="24"/>
          <w:szCs w:val="24"/>
        </w:rPr>
        <w:lastRenderedPageBreak/>
        <w:t>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apskaitos dokumentuose tą ataskaitinį laikotarpį, kurį apskaitos politika pakeičiama, ir nurodomas einamojo ataskaitinio laikotarpio veiklos rezultatų ataskaitos eilutėje „Apskaitos politikos keitimo bei esminių klaidų taisymo įtaka“. Šioje eilutėje yra fiksuojama apskaitos politikos keitimo poveikio dalis, susijusi su ankstesniais ataskaitiniais laikotarpiais. Lyginamoji ankstesnio ataskaitinio laikotarpio informacija finansinėse ataskaitose pateikiama tokia, kokia buvo, t. y. nėra koreguojama.</w:t>
      </w:r>
    </w:p>
    <w:p w14:paraId="17FF86EA" w14:textId="77777777" w:rsidR="00437BD1" w:rsidRPr="000F1BA5" w:rsidRDefault="00437BD1" w:rsidP="00437BD1">
      <w:pPr>
        <w:pStyle w:val="Pagrindinistekstas1"/>
        <w:shd w:val="clear" w:color="auto" w:fill="auto"/>
        <w:spacing w:before="0" w:line="264" w:lineRule="auto"/>
        <w:ind w:left="20" w:right="40" w:firstLine="851"/>
        <w:jc w:val="both"/>
        <w:rPr>
          <w:rFonts w:ascii="Times New Roman" w:hAnsi="Times New Roman"/>
          <w:sz w:val="24"/>
          <w:szCs w:val="24"/>
        </w:rPr>
      </w:pPr>
      <w:r w:rsidRPr="000F1BA5">
        <w:rPr>
          <w:rFonts w:ascii="Times New Roman" w:hAnsi="Times New Roman"/>
          <w:sz w:val="24"/>
          <w:szCs w:val="24"/>
        </w:rPr>
        <w:t>Apskaitiniai įvertinimai yra peržiūrimi tuo atveju, jei pasikeičia aplinkybės, kuriomis buvo remtasi atliekant įvertinimą, arba atsiranda papildomos informacijos ar kitų įvykių.</w:t>
      </w:r>
    </w:p>
    <w:p w14:paraId="40E7781A" w14:textId="77777777" w:rsidR="00437BD1" w:rsidRPr="000F1BA5" w:rsidRDefault="00437BD1" w:rsidP="00437BD1">
      <w:pPr>
        <w:pStyle w:val="Pagrindinistekstas1"/>
        <w:shd w:val="clear" w:color="auto" w:fill="auto"/>
        <w:spacing w:before="0" w:line="264" w:lineRule="auto"/>
        <w:ind w:left="20" w:firstLine="851"/>
        <w:jc w:val="both"/>
        <w:rPr>
          <w:rFonts w:ascii="Times New Roman" w:hAnsi="Times New Roman"/>
          <w:sz w:val="24"/>
          <w:szCs w:val="24"/>
        </w:rPr>
      </w:pPr>
      <w:r w:rsidRPr="000F1BA5">
        <w:rPr>
          <w:rFonts w:ascii="Times New Roman" w:hAnsi="Times New Roman"/>
          <w:sz w:val="24"/>
          <w:szCs w:val="24"/>
        </w:rPr>
        <w:t xml:space="preserve">Apskaitinio įvertinimo pasikeitimo poveikis nustatant grynąjį perviršį ar deficitą priskiriamas taip: apskaitinio įvertinimo pasikeitimo rezultatas įtraukiamas į tą veiklos rezultatų ataskaitos eilutę, kurioje buvo nurodytas pirminis įvertis, nebent pasikeitimas ataskaitiniu laikotarpiu turi įtakos tik finansinės būklės ataskaitos straipsniams. </w:t>
      </w:r>
    </w:p>
    <w:p w14:paraId="0AF76706" w14:textId="77777777" w:rsidR="00437BD1" w:rsidRPr="000F1BA5" w:rsidRDefault="00437BD1" w:rsidP="00437BD1">
      <w:pPr>
        <w:pStyle w:val="Pagrindinistekstas1"/>
        <w:shd w:val="clear" w:color="auto" w:fill="auto"/>
        <w:spacing w:before="0" w:line="264" w:lineRule="auto"/>
        <w:ind w:firstLine="851"/>
        <w:jc w:val="both"/>
        <w:rPr>
          <w:rFonts w:ascii="Times New Roman" w:hAnsi="Times New Roman"/>
          <w:sz w:val="24"/>
          <w:szCs w:val="24"/>
        </w:rPr>
      </w:pPr>
      <w:r w:rsidRPr="000F1BA5">
        <w:rPr>
          <w:rFonts w:ascii="Times New Roman" w:hAnsi="Times New Roman"/>
          <w:sz w:val="24"/>
          <w:szCs w:val="24"/>
        </w:rPr>
        <w:t>Ataskaitiniu laikotarpiu gali būti pastebėtos apskaitos klaidos, padarytos praėjusių ataskaitinių laikotarpių finansinėse ataskaitose. Apskaitos klaida laikoma esmine, jei jos vertinė išraiška yra didesnė kaip 0,5 proc. nuo per finansinius metus planuojamų gauti finansavimo sumų vertės (rengiant metines finansines ataskaitas, skaičiuojama nuo per finansinius metus gautų finansavimo sumų vertės).</w:t>
      </w:r>
    </w:p>
    <w:p w14:paraId="50380208" w14:textId="77777777" w:rsidR="00437BD1" w:rsidRPr="000F1BA5" w:rsidRDefault="00437BD1" w:rsidP="00437BD1">
      <w:pPr>
        <w:pStyle w:val="Pagrindinistekstas1"/>
        <w:shd w:val="clear" w:color="auto" w:fill="auto"/>
        <w:spacing w:before="0" w:line="264" w:lineRule="auto"/>
        <w:ind w:left="20" w:right="40" w:firstLine="851"/>
        <w:jc w:val="both"/>
        <w:rPr>
          <w:rFonts w:ascii="Times New Roman" w:hAnsi="Times New Roman"/>
          <w:sz w:val="24"/>
          <w:szCs w:val="24"/>
        </w:rPr>
      </w:pPr>
      <w:r w:rsidRPr="000F1BA5">
        <w:rPr>
          <w:rFonts w:ascii="Times New Roman" w:hAnsi="Times New Roman"/>
          <w:sz w:val="24"/>
          <w:szCs w:val="24"/>
        </w:rPr>
        <w:t>Ir esminės, ir neesminės apskaitos klaidos taisomos einamojo ataskaitinio laikotarpio finansinėse ataskaitose. Apskaitos klaidų taisymo įtaka finansinėse ataskaitose fiksuojama taip:</w:t>
      </w:r>
    </w:p>
    <w:p w14:paraId="0FB2D73C" w14:textId="77777777" w:rsidR="00437BD1" w:rsidRPr="000F1BA5" w:rsidRDefault="00437BD1" w:rsidP="00437BD1">
      <w:pPr>
        <w:pStyle w:val="Pagrindinistekstas1"/>
        <w:shd w:val="clear" w:color="auto" w:fill="auto"/>
        <w:spacing w:before="0" w:line="264" w:lineRule="auto"/>
        <w:ind w:left="20" w:right="40" w:firstLine="851"/>
        <w:jc w:val="both"/>
        <w:rPr>
          <w:rFonts w:ascii="Times New Roman" w:hAnsi="Times New Roman"/>
          <w:sz w:val="24"/>
          <w:szCs w:val="24"/>
        </w:rPr>
      </w:pPr>
      <w:r w:rsidRPr="000F1BA5">
        <w:rPr>
          <w:rFonts w:ascii="Times New Roman" w:hAnsi="Times New Roman"/>
          <w:sz w:val="24"/>
          <w:szCs w:val="24"/>
        </w:rPr>
        <w:t>- jei apskaitos klaida nėra esminė, jos taisymas registruojamas toje pačioje sąskaitoje, kurioje buvo užregistruota klaidinga informacija, ir nurodomas toje pačioje veiklos rezultatų ataskaitos eilutėje, kurioje buvo pateikta klaidinga informacija;</w:t>
      </w:r>
    </w:p>
    <w:p w14:paraId="5AF7C29B" w14:textId="77777777" w:rsidR="00437BD1" w:rsidRPr="000F1BA5" w:rsidRDefault="00437BD1" w:rsidP="00437BD1">
      <w:pPr>
        <w:pStyle w:val="Pagrindinistekstas1"/>
        <w:shd w:val="clear" w:color="auto" w:fill="auto"/>
        <w:spacing w:before="0" w:line="264" w:lineRule="auto"/>
        <w:ind w:left="20" w:right="40" w:firstLine="851"/>
        <w:jc w:val="both"/>
        <w:rPr>
          <w:rFonts w:ascii="Times New Roman" w:hAnsi="Times New Roman"/>
          <w:sz w:val="24"/>
          <w:szCs w:val="24"/>
        </w:rPr>
      </w:pPr>
      <w:r w:rsidRPr="000F1BA5">
        <w:rPr>
          <w:rFonts w:ascii="Times New Roman" w:hAnsi="Times New Roman"/>
          <w:sz w:val="24"/>
          <w:szCs w:val="24"/>
        </w:rPr>
        <w:t xml:space="preserve">- jei apskaitos klaida esminė, jos taisymas registruojamas tam skirtoje sąskaitoje ir nurodomas veiklos rezultatų ataskaitos eilutėje „Apskaitos politikos keitimo bei esminių apskaitos klaidų taisymo įtaka“. </w:t>
      </w:r>
    </w:p>
    <w:p w14:paraId="6DF19BC8" w14:textId="77777777" w:rsidR="00437BD1" w:rsidRPr="000F1BA5" w:rsidRDefault="00437BD1" w:rsidP="00437BD1">
      <w:pPr>
        <w:pStyle w:val="Pagrindinistekstas1"/>
        <w:shd w:val="clear" w:color="auto" w:fill="auto"/>
        <w:spacing w:before="0" w:line="264" w:lineRule="auto"/>
        <w:ind w:left="20" w:right="40" w:firstLine="851"/>
        <w:jc w:val="both"/>
        <w:rPr>
          <w:rFonts w:ascii="Times New Roman" w:hAnsi="Times New Roman"/>
          <w:sz w:val="24"/>
          <w:szCs w:val="24"/>
        </w:rPr>
      </w:pPr>
      <w:r w:rsidRPr="000F1BA5">
        <w:rPr>
          <w:rFonts w:ascii="Times New Roman" w:hAnsi="Times New Roman"/>
          <w:sz w:val="24"/>
          <w:szCs w:val="24"/>
        </w:rPr>
        <w:t>Lyginamoji ankstesniojo ataskaitinio laikotarpio finansinė informacija pateikiama tokia, kokia buvo, t. y. nekoreguojama. Su esminės klaidos taisymu susijusi informacija pateikiama aiškinamajame rašte.</w:t>
      </w:r>
    </w:p>
    <w:p w14:paraId="68F241F0" w14:textId="77777777" w:rsidR="00437BD1" w:rsidRPr="000F1BA5" w:rsidRDefault="00437BD1" w:rsidP="00437BD1">
      <w:pPr>
        <w:pStyle w:val="Pagrindinistekstas1"/>
        <w:shd w:val="clear" w:color="auto" w:fill="auto"/>
        <w:spacing w:before="0" w:line="264" w:lineRule="auto"/>
        <w:ind w:left="20" w:right="40" w:firstLine="851"/>
        <w:jc w:val="both"/>
        <w:rPr>
          <w:rFonts w:ascii="Times New Roman" w:hAnsi="Times New Roman"/>
          <w:sz w:val="24"/>
          <w:szCs w:val="24"/>
        </w:rPr>
      </w:pPr>
    </w:p>
    <w:p w14:paraId="30D87ED0" w14:textId="77777777" w:rsidR="00437BD1" w:rsidRPr="000F1BA5" w:rsidRDefault="00437BD1" w:rsidP="00437BD1">
      <w:pPr>
        <w:pStyle w:val="Temosantrat30"/>
        <w:keepNext/>
        <w:keepLines/>
        <w:spacing w:before="0" w:line="264" w:lineRule="auto"/>
        <w:jc w:val="center"/>
        <w:rPr>
          <w:rFonts w:ascii="Times New Roman" w:hAnsi="Times New Roman"/>
          <w:b/>
          <w:sz w:val="24"/>
          <w:szCs w:val="24"/>
        </w:rPr>
      </w:pPr>
      <w:r w:rsidRPr="000F1BA5">
        <w:rPr>
          <w:rFonts w:ascii="Times New Roman" w:hAnsi="Times New Roman"/>
          <w:b/>
          <w:sz w:val="24"/>
          <w:szCs w:val="24"/>
        </w:rPr>
        <w:t>III. PASTABOS</w:t>
      </w:r>
    </w:p>
    <w:p w14:paraId="7C85B73E" w14:textId="77777777" w:rsidR="00437BD1" w:rsidRPr="000F1BA5" w:rsidRDefault="00437BD1" w:rsidP="00437BD1">
      <w:pPr>
        <w:pStyle w:val="Antrat2"/>
        <w:spacing w:line="264" w:lineRule="auto"/>
        <w:ind w:firstLine="851"/>
        <w:jc w:val="both"/>
        <w:rPr>
          <w:i/>
          <w:iCs/>
          <w:sz w:val="24"/>
        </w:rPr>
      </w:pPr>
    </w:p>
    <w:p w14:paraId="30D3C2E1" w14:textId="77777777" w:rsidR="00437BD1" w:rsidRPr="000F1BA5" w:rsidRDefault="00437BD1" w:rsidP="00437BD1">
      <w:pPr>
        <w:pStyle w:val="Antrat2"/>
        <w:spacing w:line="264" w:lineRule="auto"/>
        <w:rPr>
          <w:i/>
          <w:iCs/>
          <w:sz w:val="24"/>
        </w:rPr>
      </w:pPr>
      <w:r w:rsidRPr="000F1BA5">
        <w:rPr>
          <w:i/>
          <w:iCs/>
          <w:sz w:val="24"/>
        </w:rPr>
        <w:t>Finansinės būklės ataskaita 2025 m. birželio 30 d.</w:t>
      </w:r>
    </w:p>
    <w:p w14:paraId="46E8073B" w14:textId="77777777" w:rsidR="00437BD1" w:rsidRPr="000F1BA5" w:rsidRDefault="00437BD1" w:rsidP="00437BD1">
      <w:pPr>
        <w:pStyle w:val="Temosantrat30"/>
        <w:keepNext/>
        <w:keepLines/>
        <w:spacing w:before="0" w:line="264" w:lineRule="auto"/>
        <w:ind w:firstLine="851"/>
        <w:jc w:val="both"/>
        <w:rPr>
          <w:rFonts w:ascii="Times New Roman" w:hAnsi="Times New Roman"/>
          <w:b/>
          <w:sz w:val="24"/>
          <w:szCs w:val="24"/>
        </w:rPr>
      </w:pPr>
    </w:p>
    <w:p w14:paraId="4E6A45F0" w14:textId="77777777" w:rsidR="00437BD1" w:rsidRPr="000F1BA5" w:rsidRDefault="00437BD1" w:rsidP="00437BD1">
      <w:pPr>
        <w:pStyle w:val="Pagrindinistekstas1"/>
        <w:tabs>
          <w:tab w:val="left" w:pos="709"/>
        </w:tabs>
        <w:spacing w:before="0" w:line="264" w:lineRule="auto"/>
        <w:ind w:firstLine="851"/>
        <w:jc w:val="both"/>
        <w:outlineLvl w:val="2"/>
        <w:rPr>
          <w:rFonts w:ascii="Times New Roman" w:hAnsi="Times New Roman"/>
          <w:b/>
          <w:sz w:val="24"/>
          <w:szCs w:val="24"/>
        </w:rPr>
      </w:pPr>
      <w:r w:rsidRPr="000F1BA5">
        <w:rPr>
          <w:rFonts w:ascii="Times New Roman" w:hAnsi="Times New Roman"/>
          <w:b/>
          <w:sz w:val="24"/>
          <w:szCs w:val="24"/>
        </w:rPr>
        <w:t>1 pastaba.</w:t>
      </w:r>
      <w:r w:rsidRPr="000F1BA5">
        <w:rPr>
          <w:rFonts w:ascii="Times New Roman" w:hAnsi="Times New Roman"/>
          <w:sz w:val="24"/>
          <w:szCs w:val="24"/>
        </w:rPr>
        <w:t xml:space="preserve"> </w:t>
      </w:r>
      <w:r w:rsidRPr="000F1BA5">
        <w:rPr>
          <w:rFonts w:ascii="Times New Roman" w:hAnsi="Times New Roman"/>
          <w:b/>
          <w:sz w:val="24"/>
          <w:szCs w:val="24"/>
        </w:rPr>
        <w:t>Apskaitos politikos ir apskaitinių įvertinimų keitimas, klaidų taisymas.</w:t>
      </w:r>
    </w:p>
    <w:p w14:paraId="5E09EA6B" w14:textId="77777777" w:rsidR="00437BD1" w:rsidRPr="000F1BA5" w:rsidRDefault="00437BD1" w:rsidP="00437BD1">
      <w:pPr>
        <w:pStyle w:val="Pagrindinistekstas1"/>
        <w:shd w:val="clear" w:color="auto" w:fill="auto"/>
        <w:tabs>
          <w:tab w:val="left" w:pos="709"/>
        </w:tabs>
        <w:spacing w:before="0" w:line="264" w:lineRule="auto"/>
        <w:ind w:firstLine="851"/>
        <w:jc w:val="both"/>
        <w:rPr>
          <w:rFonts w:ascii="Times New Roman" w:hAnsi="Times New Roman"/>
          <w:sz w:val="24"/>
          <w:szCs w:val="24"/>
        </w:rPr>
      </w:pPr>
      <w:r w:rsidRPr="000F1BA5">
        <w:rPr>
          <w:rFonts w:ascii="Times New Roman" w:hAnsi="Times New Roman"/>
          <w:sz w:val="24"/>
          <w:szCs w:val="24"/>
        </w:rPr>
        <w:t>Per ataskaitinį laikotarpį apskaitos politika keičiama nebuvo.</w:t>
      </w:r>
    </w:p>
    <w:p w14:paraId="3D72E9BB" w14:textId="77777777" w:rsidR="00437BD1" w:rsidRPr="000F1BA5" w:rsidRDefault="00437BD1" w:rsidP="00437BD1">
      <w:pPr>
        <w:pStyle w:val="Pagrindinistekstas1"/>
        <w:shd w:val="clear" w:color="auto" w:fill="auto"/>
        <w:tabs>
          <w:tab w:val="left" w:pos="709"/>
        </w:tabs>
        <w:spacing w:before="0" w:line="264" w:lineRule="auto"/>
        <w:ind w:firstLine="851"/>
        <w:jc w:val="both"/>
        <w:rPr>
          <w:rStyle w:val="Pagrindinistekstas17"/>
          <w:rFonts w:eastAsia="Calibri"/>
          <w:sz w:val="24"/>
          <w:szCs w:val="24"/>
        </w:rPr>
      </w:pPr>
    </w:p>
    <w:p w14:paraId="7C7D831F" w14:textId="77777777" w:rsidR="00437BD1" w:rsidRPr="000F1BA5" w:rsidRDefault="00437BD1" w:rsidP="00437BD1">
      <w:pPr>
        <w:pStyle w:val="Temosantrat30"/>
        <w:keepNext/>
        <w:keepLines/>
        <w:spacing w:before="0" w:line="264" w:lineRule="auto"/>
        <w:ind w:firstLine="851"/>
        <w:jc w:val="both"/>
        <w:rPr>
          <w:rFonts w:ascii="Times New Roman" w:hAnsi="Times New Roman"/>
          <w:b/>
          <w:sz w:val="24"/>
          <w:szCs w:val="24"/>
        </w:rPr>
      </w:pPr>
      <w:r w:rsidRPr="000F1BA5">
        <w:rPr>
          <w:rFonts w:ascii="Times New Roman" w:hAnsi="Times New Roman"/>
          <w:b/>
          <w:sz w:val="24"/>
          <w:szCs w:val="24"/>
        </w:rPr>
        <w:t>2 pastaba.</w:t>
      </w:r>
      <w:r w:rsidRPr="000F1BA5">
        <w:rPr>
          <w:rFonts w:ascii="Times New Roman" w:hAnsi="Times New Roman"/>
          <w:sz w:val="24"/>
          <w:szCs w:val="24"/>
        </w:rPr>
        <w:t xml:space="preserve"> </w:t>
      </w:r>
      <w:r w:rsidRPr="000F1BA5">
        <w:rPr>
          <w:rFonts w:ascii="Times New Roman" w:hAnsi="Times New Roman"/>
          <w:b/>
          <w:sz w:val="24"/>
          <w:szCs w:val="24"/>
        </w:rPr>
        <w:t>Informacija pagal veiklos segmentus.</w:t>
      </w:r>
    </w:p>
    <w:p w14:paraId="761C3472" w14:textId="77777777" w:rsidR="00437BD1" w:rsidRPr="000F1BA5" w:rsidRDefault="00437BD1" w:rsidP="00437BD1">
      <w:pPr>
        <w:pStyle w:val="Temosantrat30"/>
        <w:keepNext/>
        <w:keepLines/>
        <w:tabs>
          <w:tab w:val="left" w:pos="709"/>
        </w:tabs>
        <w:spacing w:before="0" w:line="264" w:lineRule="auto"/>
        <w:ind w:firstLine="851"/>
        <w:jc w:val="both"/>
        <w:rPr>
          <w:rFonts w:ascii="Times New Roman" w:hAnsi="Times New Roman"/>
          <w:sz w:val="24"/>
          <w:szCs w:val="24"/>
        </w:rPr>
      </w:pPr>
      <w:r w:rsidRPr="000F1BA5">
        <w:rPr>
          <w:rFonts w:ascii="Times New Roman" w:hAnsi="Times New Roman"/>
          <w:sz w:val="24"/>
          <w:szCs w:val="24"/>
        </w:rPr>
        <w:t>Vilniaus TLK administruojamo Privalomojo sveikatos draudimo fondo apskaitą vykdo pagal valstybės funkcijos veiklos segmentą „Sveikatos apsauga“. Informacija pagal veiklos segmentus pateikiama 25-ojo VSAFAS priede nustatyta forma (</w:t>
      </w:r>
      <w:r w:rsidRPr="000F1BA5">
        <w:rPr>
          <w:rFonts w:ascii="Times New Roman" w:hAnsi="Times New Roman"/>
          <w:i/>
          <w:iCs/>
          <w:sz w:val="24"/>
          <w:szCs w:val="24"/>
        </w:rPr>
        <w:t>1 priedas</w:t>
      </w:r>
      <w:r w:rsidRPr="000F1BA5">
        <w:rPr>
          <w:rFonts w:ascii="Times New Roman" w:hAnsi="Times New Roman"/>
          <w:sz w:val="24"/>
          <w:szCs w:val="24"/>
        </w:rPr>
        <w:t>).</w:t>
      </w:r>
    </w:p>
    <w:p w14:paraId="3314E0BE" w14:textId="77777777" w:rsidR="00437BD1" w:rsidRPr="000F1BA5" w:rsidRDefault="00437BD1" w:rsidP="00437BD1">
      <w:pPr>
        <w:spacing w:line="264" w:lineRule="auto"/>
        <w:ind w:firstLine="851"/>
        <w:jc w:val="both"/>
        <w:rPr>
          <w:b/>
        </w:rPr>
      </w:pPr>
    </w:p>
    <w:p w14:paraId="42FE9F15" w14:textId="77777777" w:rsidR="00437BD1" w:rsidRPr="000F1BA5" w:rsidRDefault="00437BD1" w:rsidP="00437BD1">
      <w:pPr>
        <w:spacing w:line="264" w:lineRule="auto"/>
        <w:ind w:firstLine="851"/>
        <w:jc w:val="both"/>
        <w:rPr>
          <w:b/>
        </w:rPr>
      </w:pPr>
      <w:r w:rsidRPr="000F1BA5">
        <w:rPr>
          <w:b/>
        </w:rPr>
        <w:t>3 pastaba. Išankstiniai apmokėjimai.</w:t>
      </w:r>
    </w:p>
    <w:p w14:paraId="3D29BC19" w14:textId="77777777" w:rsidR="00437BD1" w:rsidRPr="000F1BA5" w:rsidRDefault="00437BD1" w:rsidP="00437BD1">
      <w:pPr>
        <w:spacing w:line="264" w:lineRule="auto"/>
        <w:ind w:firstLine="851"/>
        <w:jc w:val="both"/>
        <w:rPr>
          <w:bCs/>
          <w:i/>
          <w:iCs/>
        </w:rPr>
      </w:pPr>
      <w:r w:rsidRPr="000F1BA5">
        <w:t xml:space="preserve">Informacija apie išankstinius apmokėjimus pateikiama 6-ojo VSAFAS 6 priede nustatyta forma </w:t>
      </w:r>
      <w:r w:rsidRPr="000F1BA5">
        <w:rPr>
          <w:i/>
          <w:iCs/>
        </w:rPr>
        <w:t>(2 priedas).</w:t>
      </w:r>
    </w:p>
    <w:p w14:paraId="0521F243" w14:textId="77777777" w:rsidR="00437BD1" w:rsidRPr="000F1BA5" w:rsidRDefault="00437BD1" w:rsidP="00437BD1">
      <w:pPr>
        <w:spacing w:line="264" w:lineRule="auto"/>
        <w:ind w:firstLine="851"/>
        <w:jc w:val="both"/>
        <w:rPr>
          <w:bCs/>
        </w:rPr>
      </w:pPr>
      <w:r w:rsidRPr="000F1BA5">
        <w:rPr>
          <w:bCs/>
        </w:rPr>
        <w:lastRenderedPageBreak/>
        <w:t>Išankstinius apmokėjimus (318 837,85 Eur) sudaro skubios konsultacinės sveikatos priežiūros pagalbos</w:t>
      </w:r>
      <w:r w:rsidRPr="000F1BA5">
        <w:rPr>
          <w:b/>
          <w:bCs/>
        </w:rPr>
        <w:t xml:space="preserve"> </w:t>
      </w:r>
      <w:r w:rsidRPr="000F1BA5">
        <w:rPr>
          <w:bCs/>
        </w:rPr>
        <w:t>(271 509,75 Eur) ir kraujo donorų kompensacijų bei neatlygintinos kraujo donorystės (47 328,10 Eur) mokėjimai iš valstybės deleguotoms funkcijoms finansuoti Lietuvos Respublikos valstybės biudžeto asignavimais.</w:t>
      </w:r>
    </w:p>
    <w:p w14:paraId="0257AC64" w14:textId="77777777" w:rsidR="00437BD1" w:rsidRPr="000F1BA5" w:rsidRDefault="00437BD1" w:rsidP="00437BD1">
      <w:pPr>
        <w:spacing w:line="264" w:lineRule="auto"/>
        <w:ind w:firstLine="851"/>
        <w:jc w:val="both"/>
        <w:rPr>
          <w:b/>
        </w:rPr>
      </w:pPr>
    </w:p>
    <w:p w14:paraId="787D26B5" w14:textId="77777777" w:rsidR="00437BD1" w:rsidRPr="000F1BA5" w:rsidRDefault="00437BD1" w:rsidP="00437BD1">
      <w:pPr>
        <w:spacing w:line="264" w:lineRule="auto"/>
        <w:ind w:firstLine="851"/>
        <w:jc w:val="both"/>
        <w:rPr>
          <w:b/>
        </w:rPr>
      </w:pPr>
      <w:r w:rsidRPr="000F1BA5">
        <w:rPr>
          <w:b/>
        </w:rPr>
        <w:t>4 pastaba. Per vienus metus gautinos sumos.</w:t>
      </w:r>
    </w:p>
    <w:p w14:paraId="7442D84D" w14:textId="77777777" w:rsidR="00437BD1" w:rsidRPr="000F1BA5" w:rsidRDefault="00437BD1" w:rsidP="00437BD1">
      <w:pPr>
        <w:tabs>
          <w:tab w:val="left" w:pos="851"/>
        </w:tabs>
        <w:spacing w:line="264" w:lineRule="auto"/>
        <w:ind w:firstLine="851"/>
        <w:jc w:val="both"/>
      </w:pPr>
      <w:r w:rsidRPr="000F1BA5">
        <w:t xml:space="preserve">Informacija apie per vienus metus gautinas sumas pateikiama 17-ojo VSAFAS 7 priede nustatyta forma </w:t>
      </w:r>
      <w:r w:rsidRPr="000F1BA5">
        <w:rPr>
          <w:i/>
          <w:iCs/>
        </w:rPr>
        <w:t xml:space="preserve">(3 priedas). </w:t>
      </w:r>
    </w:p>
    <w:p w14:paraId="4370FE21" w14:textId="77777777" w:rsidR="00437BD1" w:rsidRPr="000F1BA5" w:rsidRDefault="00437BD1" w:rsidP="00437BD1">
      <w:pPr>
        <w:tabs>
          <w:tab w:val="left" w:pos="709"/>
        </w:tabs>
        <w:spacing w:line="264" w:lineRule="auto"/>
        <w:ind w:firstLine="851"/>
        <w:jc w:val="both"/>
      </w:pPr>
      <w:r w:rsidRPr="000F1BA5">
        <w:t xml:space="preserve">Sukauptos gautinos sumos (86 640 890,85 Eur) – tai sukauptos finansavimo pajamos įsipareigojimams už suteiktas paslaugas apmokėti </w:t>
      </w:r>
      <w:r w:rsidRPr="000F1BA5">
        <w:rPr>
          <w:color w:val="000000"/>
        </w:rPr>
        <w:t>iš PSDF (86 253 316,08 Eur) ir valstybės biudžeto (387 574,77 Eur) (toliau – VB).</w:t>
      </w:r>
    </w:p>
    <w:p w14:paraId="60D21114" w14:textId="77777777" w:rsidR="00437BD1" w:rsidRPr="000F1BA5" w:rsidRDefault="00437BD1" w:rsidP="00437BD1">
      <w:pPr>
        <w:spacing w:line="264" w:lineRule="auto"/>
        <w:ind w:firstLine="851"/>
        <w:jc w:val="both"/>
      </w:pPr>
      <w:r w:rsidRPr="000F1BA5">
        <w:t>Kitas gautinas sumas (55 174,46 Eur) sudaro žalos, kai iš sveikatos priežiūros įstaigų išieškomos ar jų grąžinamos lėšos už neteisėtai suteiktas asmens sveikatos priežiūros paslaugas ir už šias paslaugas neteisėtai pateiktas apmokėti sąskaitas:</w:t>
      </w:r>
    </w:p>
    <w:p w14:paraId="75E604FA" w14:textId="77777777" w:rsidR="00437BD1" w:rsidRPr="000F1BA5" w:rsidRDefault="00437BD1" w:rsidP="00437BD1">
      <w:pPr>
        <w:tabs>
          <w:tab w:val="left" w:pos="709"/>
        </w:tabs>
        <w:spacing w:line="264" w:lineRule="auto"/>
        <w:ind w:firstLine="851"/>
        <w:jc w:val="both"/>
      </w:pPr>
      <w:r w:rsidRPr="000F1BA5">
        <w:t>- 9 107,42 Eur – asmens sveikatos priežiūros įstaigų sąnaudų kompensavimas;</w:t>
      </w:r>
    </w:p>
    <w:p w14:paraId="1459ED6C" w14:textId="77777777" w:rsidR="00437BD1" w:rsidRPr="000F1BA5" w:rsidRDefault="00437BD1" w:rsidP="00437BD1">
      <w:pPr>
        <w:tabs>
          <w:tab w:val="left" w:pos="709"/>
        </w:tabs>
        <w:spacing w:line="264" w:lineRule="auto"/>
        <w:ind w:firstLine="851"/>
        <w:jc w:val="both"/>
      </w:pPr>
      <w:r w:rsidRPr="000F1BA5">
        <w:t>- 46 067,04 Eur – pagyvenusių žmonių dantų protezavimo sąnaudų kompensavimas.</w:t>
      </w:r>
    </w:p>
    <w:p w14:paraId="58F612C9" w14:textId="019AD3EE" w:rsidR="00437BD1" w:rsidRPr="000F1BA5" w:rsidRDefault="00437BD1" w:rsidP="00437BD1">
      <w:pPr>
        <w:spacing w:line="264" w:lineRule="auto"/>
        <w:ind w:firstLine="851"/>
        <w:jc w:val="both"/>
        <w:rPr>
          <w:bCs/>
        </w:rPr>
      </w:pPr>
      <w:r w:rsidRPr="000F1BA5">
        <w:rPr>
          <w:bCs/>
        </w:rPr>
        <w:t>Kitos gautinos sumos užregistruotos, nes tikrai žinoma, kad jos bus gautos ir suma nesikeis.</w:t>
      </w:r>
    </w:p>
    <w:p w14:paraId="733B9EF4" w14:textId="77777777" w:rsidR="00437BD1" w:rsidRPr="000F1BA5" w:rsidRDefault="00437BD1" w:rsidP="00437BD1">
      <w:pPr>
        <w:spacing w:line="264" w:lineRule="auto"/>
        <w:ind w:firstLine="851"/>
        <w:jc w:val="both"/>
        <w:rPr>
          <w:bCs/>
        </w:rPr>
      </w:pPr>
    </w:p>
    <w:p w14:paraId="514DF319" w14:textId="77777777" w:rsidR="00437BD1" w:rsidRPr="000F1BA5" w:rsidRDefault="00437BD1" w:rsidP="00437BD1">
      <w:pPr>
        <w:spacing w:line="264" w:lineRule="auto"/>
        <w:ind w:firstLine="851"/>
        <w:jc w:val="both"/>
      </w:pPr>
      <w:r w:rsidRPr="000F1BA5">
        <w:rPr>
          <w:b/>
        </w:rPr>
        <w:t>5 pastaba.</w:t>
      </w:r>
      <w:r w:rsidRPr="000F1BA5">
        <w:t xml:space="preserve"> </w:t>
      </w:r>
      <w:r w:rsidRPr="000F1BA5">
        <w:rPr>
          <w:b/>
        </w:rPr>
        <w:t>Finansavimo sumos.</w:t>
      </w:r>
    </w:p>
    <w:p w14:paraId="3673D4AF" w14:textId="77777777" w:rsidR="00437BD1" w:rsidRPr="000F1BA5" w:rsidRDefault="00437BD1" w:rsidP="00437BD1">
      <w:pPr>
        <w:tabs>
          <w:tab w:val="left" w:pos="709"/>
          <w:tab w:val="left" w:pos="851"/>
        </w:tabs>
        <w:spacing w:line="264" w:lineRule="auto"/>
        <w:ind w:firstLine="851"/>
        <w:jc w:val="both"/>
      </w:pPr>
      <w:r w:rsidRPr="000F1BA5">
        <w:t xml:space="preserve">Informacija apie gautą finansavimą pagal šaltinį, tikslinę paskirtį ir finansavimo sumų pokyčius pateikiama 20-ojo VSAFAS 4 ir 5 prieduose nustatyta forma </w:t>
      </w:r>
      <w:r w:rsidRPr="000F1BA5">
        <w:rPr>
          <w:i/>
          <w:iCs/>
        </w:rPr>
        <w:t>(4 ir 5 priedai</w:t>
      </w:r>
      <w:r w:rsidRPr="000F1BA5">
        <w:t xml:space="preserve">). </w:t>
      </w:r>
    </w:p>
    <w:p w14:paraId="401C7DEF" w14:textId="77777777" w:rsidR="00823C01" w:rsidRDefault="00437BD1" w:rsidP="00437BD1">
      <w:pPr>
        <w:pStyle w:val="Default"/>
        <w:spacing w:line="264" w:lineRule="auto"/>
        <w:ind w:firstLine="851"/>
        <w:jc w:val="both"/>
        <w:rPr>
          <w:color w:val="auto"/>
        </w:rPr>
      </w:pPr>
      <w:r w:rsidRPr="000F1BA5">
        <w:rPr>
          <w:color w:val="auto"/>
        </w:rPr>
        <w:t xml:space="preserve">Per  ataskaitinį laikotarpį iš viso  gauta  546 791 505,27  Eur  finansavimo  sumų,  iš  jų  2 658 194,15 Eur iš valstybės biudžeto, iš kitų šaltinių – 544 133 311,12 Eur. Informacija apie finansavimo sumas (gautas) pagal išmokų rūšis pateikiama lentelėje </w:t>
      </w:r>
      <w:r w:rsidRPr="000F1BA5">
        <w:rPr>
          <w:i/>
          <w:iCs/>
          <w:color w:val="auto"/>
        </w:rPr>
        <w:t>(6 priedas).</w:t>
      </w:r>
      <w:r w:rsidRPr="000F1BA5">
        <w:rPr>
          <w:color w:val="auto"/>
        </w:rPr>
        <w:t xml:space="preserve"> Pokyčio neskaičiuojame, </w:t>
      </w:r>
      <w:r w:rsidRPr="000F1BA5">
        <w:rPr>
          <w:rFonts w:eastAsiaTheme="minorHAnsi"/>
        </w:rPr>
        <w:t xml:space="preserve">kadangi dėl </w:t>
      </w:r>
      <w:r w:rsidR="00823C01" w:rsidRPr="000F1BA5">
        <w:rPr>
          <w:rFonts w:eastAsiaTheme="minorHAnsi"/>
        </w:rPr>
        <w:t>nepilnų finansinių metų duomenys nėra tinkami palyginimui</w:t>
      </w:r>
      <w:r w:rsidR="00823C01" w:rsidRPr="000F1BA5">
        <w:rPr>
          <w:color w:val="auto"/>
        </w:rPr>
        <w:t xml:space="preserve"> </w:t>
      </w:r>
    </w:p>
    <w:p w14:paraId="32F28D93" w14:textId="117E94BB" w:rsidR="00437BD1" w:rsidRPr="000F1BA5" w:rsidRDefault="00437BD1" w:rsidP="00437BD1">
      <w:pPr>
        <w:pStyle w:val="Default"/>
        <w:spacing w:line="264" w:lineRule="auto"/>
        <w:ind w:firstLine="851"/>
        <w:jc w:val="both"/>
        <w:rPr>
          <w:color w:val="auto"/>
        </w:rPr>
      </w:pPr>
      <w:r w:rsidRPr="000F1BA5">
        <w:rPr>
          <w:color w:val="auto"/>
        </w:rPr>
        <w:t xml:space="preserve">Kitiems viešojo sektoriaus subjektams perduota 1 913 229,39 Eur, iš jų 400 239,14 Eur iš valstybės biudžeto, iš kitų šaltinių – 1 512 990,25 Eur. </w:t>
      </w:r>
    </w:p>
    <w:p w14:paraId="1E2DFCCC" w14:textId="145E0F78" w:rsidR="00437BD1" w:rsidRPr="000F1BA5" w:rsidRDefault="00437BD1" w:rsidP="00437BD1">
      <w:pPr>
        <w:spacing w:line="264" w:lineRule="auto"/>
        <w:ind w:firstLine="851"/>
        <w:jc w:val="both"/>
      </w:pPr>
      <w:r w:rsidRPr="000F1BA5">
        <w:t>Informacija apie finansavimo sumas,  perduotas kitiems viešojo sektoriaus  subjektams  (1</w:t>
      </w:r>
      <w:r w:rsidR="002B3853">
        <w:t> </w:t>
      </w:r>
      <w:r w:rsidRPr="000F1BA5">
        <w:t>913</w:t>
      </w:r>
      <w:r w:rsidR="002B3853">
        <w:t xml:space="preserve"> </w:t>
      </w:r>
      <w:r w:rsidRPr="000F1BA5">
        <w:t>229,39 Eur), pagal išmokų rūšis:</w:t>
      </w:r>
    </w:p>
    <w:p w14:paraId="6547E105" w14:textId="77777777" w:rsidR="00437BD1" w:rsidRPr="000F1BA5" w:rsidRDefault="00437BD1" w:rsidP="00437BD1">
      <w:pPr>
        <w:spacing w:line="264" w:lineRule="auto"/>
        <w:ind w:firstLine="851"/>
        <w:jc w:val="right"/>
      </w:pPr>
      <w:r w:rsidRPr="000F1BA5">
        <w:t>(Eur)</w:t>
      </w:r>
    </w:p>
    <w:tbl>
      <w:tblPr>
        <w:tblStyle w:val="Lentelstinklelis"/>
        <w:tblW w:w="9487" w:type="dxa"/>
        <w:jc w:val="right"/>
        <w:tblLook w:val="04A0" w:firstRow="1" w:lastRow="0" w:firstColumn="1" w:lastColumn="0" w:noHBand="0" w:noVBand="1"/>
      </w:tblPr>
      <w:tblGrid>
        <w:gridCol w:w="6935"/>
        <w:gridCol w:w="2552"/>
      </w:tblGrid>
      <w:tr w:rsidR="00437BD1" w:rsidRPr="000F1BA5" w14:paraId="5A5C0D4C" w14:textId="77777777" w:rsidTr="006B4A81">
        <w:trPr>
          <w:jc w:val="right"/>
        </w:trPr>
        <w:tc>
          <w:tcPr>
            <w:tcW w:w="6935" w:type="dxa"/>
          </w:tcPr>
          <w:p w14:paraId="11905E87" w14:textId="77777777" w:rsidR="00437BD1" w:rsidRPr="000F1BA5" w:rsidRDefault="00437BD1" w:rsidP="00437BD1">
            <w:pPr>
              <w:spacing w:line="264" w:lineRule="auto"/>
              <w:ind w:firstLine="851"/>
              <w:jc w:val="both"/>
            </w:pPr>
            <w:r w:rsidRPr="000F1BA5">
              <w:t>Išmokų rūšys</w:t>
            </w:r>
          </w:p>
        </w:tc>
        <w:tc>
          <w:tcPr>
            <w:tcW w:w="2552" w:type="dxa"/>
          </w:tcPr>
          <w:p w14:paraId="6A870F1F" w14:textId="77777777" w:rsidR="00437BD1" w:rsidRPr="000F1BA5" w:rsidRDefault="00437BD1" w:rsidP="00437BD1">
            <w:pPr>
              <w:spacing w:line="264" w:lineRule="auto"/>
              <w:ind w:firstLine="851"/>
              <w:jc w:val="both"/>
            </w:pPr>
            <w:r w:rsidRPr="000F1BA5">
              <w:t xml:space="preserve">Suma </w:t>
            </w:r>
          </w:p>
        </w:tc>
      </w:tr>
      <w:tr w:rsidR="00437BD1" w:rsidRPr="000F1BA5" w14:paraId="5FC0FFB6" w14:textId="77777777" w:rsidTr="006B4A81">
        <w:trPr>
          <w:jc w:val="right"/>
        </w:trPr>
        <w:tc>
          <w:tcPr>
            <w:tcW w:w="6935" w:type="dxa"/>
          </w:tcPr>
          <w:p w14:paraId="1877122D" w14:textId="77777777" w:rsidR="00437BD1" w:rsidRPr="000F1BA5" w:rsidRDefault="00437BD1" w:rsidP="00437BD1">
            <w:pPr>
              <w:spacing w:line="264" w:lineRule="auto"/>
              <w:jc w:val="both"/>
            </w:pPr>
            <w:r w:rsidRPr="000F1BA5">
              <w:t>Skubios konsultacinės pagalbos programa</w:t>
            </w:r>
          </w:p>
        </w:tc>
        <w:tc>
          <w:tcPr>
            <w:tcW w:w="2552" w:type="dxa"/>
          </w:tcPr>
          <w:p w14:paraId="2B00FB9A" w14:textId="77777777" w:rsidR="00437BD1" w:rsidRPr="000F1BA5" w:rsidRDefault="00437BD1" w:rsidP="00437BD1">
            <w:pPr>
              <w:spacing w:line="264" w:lineRule="auto"/>
              <w:ind w:firstLine="851"/>
              <w:jc w:val="right"/>
            </w:pPr>
            <w:r w:rsidRPr="000F1BA5">
              <w:t>1 512 990,25</w:t>
            </w:r>
          </w:p>
        </w:tc>
      </w:tr>
      <w:tr w:rsidR="00437BD1" w:rsidRPr="000F1BA5" w14:paraId="397144DA" w14:textId="77777777" w:rsidTr="006B4A81">
        <w:trPr>
          <w:jc w:val="right"/>
        </w:trPr>
        <w:tc>
          <w:tcPr>
            <w:tcW w:w="6935" w:type="dxa"/>
          </w:tcPr>
          <w:p w14:paraId="0A1ECEE0" w14:textId="77777777" w:rsidR="00437BD1" w:rsidRPr="000F1BA5" w:rsidRDefault="00437BD1" w:rsidP="00437BD1">
            <w:pPr>
              <w:spacing w:line="264" w:lineRule="auto"/>
              <w:jc w:val="both"/>
            </w:pPr>
            <w:r w:rsidRPr="000F1BA5">
              <w:t>Nacionalinė kraujo programa (kompensacijos kraujo donorams) (VB)</w:t>
            </w:r>
          </w:p>
        </w:tc>
        <w:tc>
          <w:tcPr>
            <w:tcW w:w="2552" w:type="dxa"/>
          </w:tcPr>
          <w:p w14:paraId="5AF30E1D" w14:textId="77777777" w:rsidR="00437BD1" w:rsidRPr="000F1BA5" w:rsidRDefault="00437BD1" w:rsidP="00437BD1">
            <w:pPr>
              <w:spacing w:line="264" w:lineRule="auto"/>
              <w:ind w:firstLine="851"/>
              <w:jc w:val="right"/>
            </w:pPr>
            <w:r w:rsidRPr="000F1BA5">
              <w:t>400 239,14</w:t>
            </w:r>
          </w:p>
        </w:tc>
      </w:tr>
      <w:tr w:rsidR="00437BD1" w:rsidRPr="000F1BA5" w14:paraId="020BEBF3" w14:textId="77777777" w:rsidTr="006B4A81">
        <w:trPr>
          <w:jc w:val="right"/>
        </w:trPr>
        <w:tc>
          <w:tcPr>
            <w:tcW w:w="6935" w:type="dxa"/>
          </w:tcPr>
          <w:p w14:paraId="496B42A0" w14:textId="77777777" w:rsidR="00437BD1" w:rsidRPr="000F1BA5" w:rsidRDefault="00437BD1" w:rsidP="00437BD1">
            <w:pPr>
              <w:spacing w:line="264" w:lineRule="auto"/>
              <w:ind w:firstLine="851"/>
              <w:jc w:val="both"/>
            </w:pPr>
            <w:r w:rsidRPr="000F1BA5">
              <w:t>Iš viso</w:t>
            </w:r>
          </w:p>
        </w:tc>
        <w:tc>
          <w:tcPr>
            <w:tcW w:w="2552" w:type="dxa"/>
          </w:tcPr>
          <w:p w14:paraId="32E7CF64" w14:textId="77777777" w:rsidR="00437BD1" w:rsidRPr="000F1BA5" w:rsidRDefault="00437BD1" w:rsidP="00437BD1">
            <w:pPr>
              <w:spacing w:line="264" w:lineRule="auto"/>
              <w:ind w:firstLine="851"/>
              <w:jc w:val="right"/>
            </w:pPr>
            <w:r w:rsidRPr="000F1BA5">
              <w:t>1 913 229,39</w:t>
            </w:r>
          </w:p>
        </w:tc>
      </w:tr>
    </w:tbl>
    <w:p w14:paraId="1E677ABB" w14:textId="77777777" w:rsidR="00437BD1" w:rsidRPr="000F1BA5" w:rsidRDefault="00437BD1" w:rsidP="00437BD1">
      <w:pPr>
        <w:pStyle w:val="Default"/>
        <w:spacing w:line="264" w:lineRule="auto"/>
        <w:ind w:firstLine="851"/>
        <w:jc w:val="both"/>
        <w:rPr>
          <w:color w:val="FF0000"/>
        </w:rPr>
      </w:pPr>
    </w:p>
    <w:p w14:paraId="02DC2D49" w14:textId="77777777" w:rsidR="00437BD1" w:rsidRPr="000F1BA5" w:rsidRDefault="00437BD1" w:rsidP="00437BD1">
      <w:pPr>
        <w:pStyle w:val="Default"/>
        <w:spacing w:line="264" w:lineRule="auto"/>
        <w:ind w:firstLine="851"/>
        <w:jc w:val="both"/>
        <w:rPr>
          <w:color w:val="auto"/>
        </w:rPr>
      </w:pPr>
      <w:r w:rsidRPr="000F1BA5">
        <w:rPr>
          <w:color w:val="auto"/>
        </w:rPr>
        <w:t xml:space="preserve">Panaudota 544 554 938,03 Eur finansavimo sumų, iš jų 2 210 626,91 Eur iš valstybės biudžeto, iš kitų šaltinių – 542 344 311,12 Eur. </w:t>
      </w:r>
    </w:p>
    <w:p w14:paraId="53C1E95D" w14:textId="77777777" w:rsidR="00437BD1" w:rsidRPr="000F1BA5" w:rsidRDefault="00437BD1" w:rsidP="00437BD1">
      <w:pPr>
        <w:pStyle w:val="Default"/>
        <w:spacing w:line="264" w:lineRule="auto"/>
        <w:ind w:firstLine="851"/>
        <w:jc w:val="both"/>
        <w:rPr>
          <w:color w:val="auto"/>
        </w:rPr>
      </w:pPr>
      <w:r w:rsidRPr="000F1BA5">
        <w:rPr>
          <w:color w:val="auto"/>
        </w:rPr>
        <w:t>Finansavimo sumos grąžintos iš Privalomojo sveikatos draudimo biudžeto– 4 500,00 Eur.</w:t>
      </w:r>
    </w:p>
    <w:p w14:paraId="51227632" w14:textId="77777777" w:rsidR="00437BD1" w:rsidRPr="000F1BA5" w:rsidRDefault="00437BD1" w:rsidP="00437BD1">
      <w:pPr>
        <w:spacing w:line="264" w:lineRule="auto"/>
        <w:ind w:firstLine="851"/>
        <w:jc w:val="both"/>
      </w:pPr>
      <w:r w:rsidRPr="000F1BA5">
        <w:t>Informacija apie finansavimo sumas (grąžintas) ( 4 500,00 Eur) pagal išmokų rūšis:</w:t>
      </w:r>
    </w:p>
    <w:p w14:paraId="321D2BBD" w14:textId="77777777" w:rsidR="00437BD1" w:rsidRPr="000F1BA5" w:rsidRDefault="00437BD1" w:rsidP="00437BD1">
      <w:pPr>
        <w:spacing w:line="264" w:lineRule="auto"/>
        <w:ind w:firstLine="851"/>
        <w:jc w:val="right"/>
      </w:pPr>
      <w:r w:rsidRPr="000F1BA5">
        <w:t>(Eur)</w:t>
      </w:r>
    </w:p>
    <w:tbl>
      <w:tblPr>
        <w:tblStyle w:val="Lentelstinklelis"/>
        <w:tblW w:w="8514" w:type="dxa"/>
        <w:jc w:val="right"/>
        <w:tblLook w:val="04A0" w:firstRow="1" w:lastRow="0" w:firstColumn="1" w:lastColumn="0" w:noHBand="0" w:noVBand="1"/>
      </w:tblPr>
      <w:tblGrid>
        <w:gridCol w:w="4962"/>
        <w:gridCol w:w="1843"/>
        <w:gridCol w:w="1709"/>
      </w:tblGrid>
      <w:tr w:rsidR="000F1BA5" w:rsidRPr="000F1BA5" w14:paraId="48FE08EC" w14:textId="77777777" w:rsidTr="000F1BA5">
        <w:trPr>
          <w:jc w:val="right"/>
        </w:trPr>
        <w:tc>
          <w:tcPr>
            <w:tcW w:w="4962" w:type="dxa"/>
          </w:tcPr>
          <w:p w14:paraId="2423C7C1" w14:textId="77777777" w:rsidR="00437BD1" w:rsidRPr="000F1BA5" w:rsidRDefault="00437BD1" w:rsidP="00437BD1">
            <w:pPr>
              <w:spacing w:line="264" w:lineRule="auto"/>
              <w:jc w:val="center"/>
            </w:pPr>
            <w:r w:rsidRPr="000F1BA5">
              <w:t>Išmokų rūšys</w:t>
            </w:r>
          </w:p>
        </w:tc>
        <w:tc>
          <w:tcPr>
            <w:tcW w:w="1843" w:type="dxa"/>
          </w:tcPr>
          <w:p w14:paraId="0BB305A4" w14:textId="77777777" w:rsidR="00437BD1" w:rsidRPr="000F1BA5" w:rsidRDefault="00437BD1" w:rsidP="00437BD1">
            <w:pPr>
              <w:spacing w:line="264" w:lineRule="auto"/>
              <w:jc w:val="center"/>
            </w:pPr>
            <w:r w:rsidRPr="000F1BA5">
              <w:t>Grąžinta iki</w:t>
            </w:r>
          </w:p>
          <w:p w14:paraId="6DEC25D7" w14:textId="77777777" w:rsidR="00437BD1" w:rsidRPr="000F1BA5" w:rsidRDefault="00437BD1" w:rsidP="00437BD1">
            <w:pPr>
              <w:spacing w:line="264" w:lineRule="auto"/>
              <w:jc w:val="center"/>
            </w:pPr>
            <w:r w:rsidRPr="000F1BA5">
              <w:t>2025-06-30</w:t>
            </w:r>
          </w:p>
        </w:tc>
        <w:tc>
          <w:tcPr>
            <w:tcW w:w="1709" w:type="dxa"/>
          </w:tcPr>
          <w:p w14:paraId="17748AF7" w14:textId="77777777" w:rsidR="00437BD1" w:rsidRPr="000F1BA5" w:rsidRDefault="00437BD1" w:rsidP="00437BD1">
            <w:pPr>
              <w:spacing w:line="264" w:lineRule="auto"/>
              <w:jc w:val="center"/>
            </w:pPr>
            <w:r w:rsidRPr="000F1BA5">
              <w:t>Grąžinta</w:t>
            </w:r>
          </w:p>
          <w:p w14:paraId="6D03E1E5" w14:textId="77777777" w:rsidR="00437BD1" w:rsidRPr="000F1BA5" w:rsidRDefault="00437BD1" w:rsidP="00437BD1">
            <w:pPr>
              <w:spacing w:line="264" w:lineRule="auto"/>
              <w:jc w:val="center"/>
            </w:pPr>
            <w:r w:rsidRPr="000F1BA5">
              <w:t>iš viso</w:t>
            </w:r>
          </w:p>
        </w:tc>
      </w:tr>
      <w:tr w:rsidR="000F1BA5" w:rsidRPr="000F1BA5" w14:paraId="0963E8B4" w14:textId="77777777" w:rsidTr="000F1BA5">
        <w:trPr>
          <w:jc w:val="right"/>
        </w:trPr>
        <w:tc>
          <w:tcPr>
            <w:tcW w:w="4962" w:type="dxa"/>
          </w:tcPr>
          <w:p w14:paraId="54A933F4" w14:textId="77777777" w:rsidR="00437BD1" w:rsidRPr="000F1BA5" w:rsidRDefault="00437BD1" w:rsidP="00437BD1">
            <w:pPr>
              <w:spacing w:line="264" w:lineRule="auto"/>
              <w:ind w:firstLine="851"/>
              <w:jc w:val="center"/>
            </w:pPr>
            <w:r w:rsidRPr="000F1BA5">
              <w:t>1</w:t>
            </w:r>
          </w:p>
        </w:tc>
        <w:tc>
          <w:tcPr>
            <w:tcW w:w="1843" w:type="dxa"/>
          </w:tcPr>
          <w:p w14:paraId="7A3AF8E5" w14:textId="77777777" w:rsidR="00437BD1" w:rsidRPr="000F1BA5" w:rsidRDefault="00437BD1" w:rsidP="00437BD1">
            <w:pPr>
              <w:spacing w:line="264" w:lineRule="auto"/>
              <w:jc w:val="center"/>
            </w:pPr>
            <w:r w:rsidRPr="000F1BA5">
              <w:t>2</w:t>
            </w:r>
          </w:p>
        </w:tc>
        <w:tc>
          <w:tcPr>
            <w:tcW w:w="1709" w:type="dxa"/>
          </w:tcPr>
          <w:p w14:paraId="436B608D" w14:textId="77777777" w:rsidR="00437BD1" w:rsidRPr="000F1BA5" w:rsidRDefault="00437BD1" w:rsidP="00437BD1">
            <w:pPr>
              <w:spacing w:line="264" w:lineRule="auto"/>
              <w:jc w:val="center"/>
            </w:pPr>
            <w:r w:rsidRPr="000F1BA5">
              <w:t>3</w:t>
            </w:r>
          </w:p>
        </w:tc>
      </w:tr>
      <w:tr w:rsidR="000F1BA5" w:rsidRPr="000F1BA5" w14:paraId="1856B3EC" w14:textId="77777777" w:rsidTr="000F1BA5">
        <w:trPr>
          <w:trHeight w:val="381"/>
          <w:jc w:val="right"/>
        </w:trPr>
        <w:tc>
          <w:tcPr>
            <w:tcW w:w="4962" w:type="dxa"/>
          </w:tcPr>
          <w:p w14:paraId="58E2EEF2" w14:textId="77777777" w:rsidR="00437BD1" w:rsidRPr="000F1BA5" w:rsidRDefault="00437BD1" w:rsidP="00437BD1">
            <w:pPr>
              <w:spacing w:line="264" w:lineRule="auto"/>
              <w:jc w:val="both"/>
            </w:pPr>
            <w:r w:rsidRPr="000F1BA5">
              <w:t>Asmens sveikatos priežiūros paslaugos</w:t>
            </w:r>
          </w:p>
        </w:tc>
        <w:tc>
          <w:tcPr>
            <w:tcW w:w="1843" w:type="dxa"/>
          </w:tcPr>
          <w:p w14:paraId="14F5A48A" w14:textId="77777777" w:rsidR="00437BD1" w:rsidRPr="000F1BA5" w:rsidRDefault="00437BD1" w:rsidP="00437BD1">
            <w:pPr>
              <w:spacing w:line="264" w:lineRule="auto"/>
              <w:jc w:val="right"/>
            </w:pPr>
            <w:r w:rsidRPr="000F1BA5">
              <w:t>4 500,00</w:t>
            </w:r>
          </w:p>
        </w:tc>
        <w:tc>
          <w:tcPr>
            <w:tcW w:w="1709" w:type="dxa"/>
          </w:tcPr>
          <w:p w14:paraId="2EB607D1" w14:textId="77777777" w:rsidR="00437BD1" w:rsidRPr="000F1BA5" w:rsidRDefault="00437BD1" w:rsidP="00437BD1">
            <w:pPr>
              <w:spacing w:line="264" w:lineRule="auto"/>
              <w:jc w:val="right"/>
            </w:pPr>
            <w:r w:rsidRPr="000F1BA5">
              <w:t>4 500,00</w:t>
            </w:r>
          </w:p>
        </w:tc>
      </w:tr>
      <w:tr w:rsidR="000F1BA5" w:rsidRPr="000F1BA5" w14:paraId="014868B2" w14:textId="77777777" w:rsidTr="000F1BA5">
        <w:trPr>
          <w:jc w:val="right"/>
        </w:trPr>
        <w:tc>
          <w:tcPr>
            <w:tcW w:w="4962" w:type="dxa"/>
          </w:tcPr>
          <w:p w14:paraId="514113CA" w14:textId="77777777" w:rsidR="00437BD1" w:rsidRPr="000F1BA5" w:rsidRDefault="00437BD1" w:rsidP="00437BD1">
            <w:pPr>
              <w:spacing w:line="264" w:lineRule="auto"/>
              <w:ind w:firstLine="851"/>
              <w:jc w:val="both"/>
            </w:pPr>
            <w:r w:rsidRPr="000F1BA5">
              <w:t>Iš viso</w:t>
            </w:r>
          </w:p>
        </w:tc>
        <w:tc>
          <w:tcPr>
            <w:tcW w:w="1843" w:type="dxa"/>
          </w:tcPr>
          <w:p w14:paraId="48A108EB" w14:textId="77777777" w:rsidR="00437BD1" w:rsidRPr="000F1BA5" w:rsidRDefault="00437BD1" w:rsidP="00437BD1">
            <w:pPr>
              <w:spacing w:line="264" w:lineRule="auto"/>
              <w:jc w:val="right"/>
            </w:pPr>
            <w:r w:rsidRPr="000F1BA5">
              <w:t>4 500,00</w:t>
            </w:r>
          </w:p>
        </w:tc>
        <w:tc>
          <w:tcPr>
            <w:tcW w:w="1709" w:type="dxa"/>
          </w:tcPr>
          <w:p w14:paraId="64E005B9" w14:textId="77777777" w:rsidR="00437BD1" w:rsidRPr="000F1BA5" w:rsidRDefault="00437BD1" w:rsidP="00437BD1">
            <w:pPr>
              <w:spacing w:line="264" w:lineRule="auto"/>
              <w:jc w:val="right"/>
            </w:pPr>
            <w:r w:rsidRPr="000F1BA5">
              <w:t>4 500,00</w:t>
            </w:r>
          </w:p>
        </w:tc>
      </w:tr>
    </w:tbl>
    <w:p w14:paraId="51E52A03" w14:textId="77777777" w:rsidR="00437BD1" w:rsidRPr="000F1BA5" w:rsidRDefault="00437BD1" w:rsidP="00437BD1">
      <w:pPr>
        <w:pStyle w:val="Default"/>
        <w:spacing w:line="264" w:lineRule="auto"/>
        <w:ind w:firstLine="851"/>
        <w:jc w:val="both"/>
        <w:rPr>
          <w:color w:val="auto"/>
        </w:rPr>
      </w:pPr>
    </w:p>
    <w:p w14:paraId="5F899B84" w14:textId="77777777" w:rsidR="00437BD1" w:rsidRPr="000F1BA5" w:rsidRDefault="00437BD1" w:rsidP="00437BD1">
      <w:pPr>
        <w:spacing w:line="264" w:lineRule="auto"/>
        <w:ind w:firstLine="851"/>
        <w:jc w:val="both"/>
        <w:rPr>
          <w:i/>
          <w:iCs/>
        </w:rPr>
      </w:pPr>
      <w:r w:rsidRPr="000F1BA5">
        <w:lastRenderedPageBreak/>
        <w:t>Finansavimo sumų likutis ataskaitinio laikotarpio pabaigoje 318 837,85 Eur, iš jų 47 328,10 Eur iš valstybės biudžeto, iš kitų šaltinių – 271 509,75 Eur.</w:t>
      </w:r>
    </w:p>
    <w:p w14:paraId="2709BB4F" w14:textId="77777777" w:rsidR="00FB2A85" w:rsidRPr="000F1BA5" w:rsidRDefault="00FB2A85" w:rsidP="00437BD1">
      <w:pPr>
        <w:spacing w:line="264" w:lineRule="auto"/>
        <w:ind w:firstLine="851"/>
        <w:jc w:val="both"/>
      </w:pPr>
    </w:p>
    <w:p w14:paraId="10DAC597" w14:textId="77777777" w:rsidR="00437BD1" w:rsidRPr="000F1BA5" w:rsidRDefault="00437BD1" w:rsidP="00437BD1">
      <w:pPr>
        <w:spacing w:line="264" w:lineRule="auto"/>
        <w:ind w:firstLine="851"/>
        <w:jc w:val="both"/>
        <w:rPr>
          <w:b/>
        </w:rPr>
      </w:pPr>
      <w:r w:rsidRPr="000F1BA5">
        <w:rPr>
          <w:b/>
        </w:rPr>
        <w:t>6 pastaba. Įsipareigojimai.</w:t>
      </w:r>
    </w:p>
    <w:p w14:paraId="33DAE196" w14:textId="77777777" w:rsidR="00437BD1" w:rsidRPr="000F1BA5" w:rsidRDefault="00437BD1" w:rsidP="00437BD1">
      <w:pPr>
        <w:tabs>
          <w:tab w:val="left" w:pos="709"/>
        </w:tabs>
        <w:spacing w:line="264" w:lineRule="auto"/>
        <w:ind w:firstLine="851"/>
        <w:jc w:val="both"/>
      </w:pPr>
      <w:r w:rsidRPr="000F1BA5">
        <w:t>Ilgalaikių įsipareigojimų nėra.</w:t>
      </w:r>
    </w:p>
    <w:p w14:paraId="6F0D0604" w14:textId="77777777" w:rsidR="00437BD1" w:rsidRPr="000F1BA5" w:rsidRDefault="00437BD1" w:rsidP="00437BD1">
      <w:pPr>
        <w:tabs>
          <w:tab w:val="left" w:pos="709"/>
        </w:tabs>
        <w:spacing w:line="264" w:lineRule="auto"/>
        <w:ind w:firstLine="851"/>
        <w:jc w:val="both"/>
      </w:pPr>
      <w:r w:rsidRPr="000F1BA5">
        <w:t xml:space="preserve">Informacija apie mokėtinas socialines išmokas (86 696 065,31 Eur) pagal išmokų rūšis pateikiama lentelėje </w:t>
      </w:r>
      <w:r w:rsidRPr="000F1BA5">
        <w:rPr>
          <w:i/>
          <w:iCs/>
        </w:rPr>
        <w:t>(7 priedas</w:t>
      </w:r>
      <w:r w:rsidRPr="000F1BA5">
        <w:t>).</w:t>
      </w:r>
    </w:p>
    <w:p w14:paraId="61ACAF14" w14:textId="77777777" w:rsidR="00437BD1" w:rsidRPr="000F1BA5" w:rsidRDefault="00437BD1" w:rsidP="00437BD1">
      <w:pPr>
        <w:tabs>
          <w:tab w:val="left" w:pos="709"/>
        </w:tabs>
        <w:spacing w:line="264" w:lineRule="auto"/>
        <w:ind w:firstLine="851"/>
        <w:jc w:val="both"/>
      </w:pPr>
      <w:r w:rsidRPr="000F1BA5">
        <w:t xml:space="preserve">Informacija apie įsipareigojimų dalį nacionaline ir užsienio valiutomis pateikiama 17-ojo VSAFAS 13 priede nustatyta forma </w:t>
      </w:r>
      <w:r w:rsidRPr="000F1BA5">
        <w:rPr>
          <w:i/>
          <w:iCs/>
        </w:rPr>
        <w:t>(8 priedas).</w:t>
      </w:r>
    </w:p>
    <w:p w14:paraId="38C57433" w14:textId="77777777" w:rsidR="00437BD1" w:rsidRPr="000F1BA5" w:rsidRDefault="00437BD1" w:rsidP="00437BD1">
      <w:pPr>
        <w:pStyle w:val="Antrat2"/>
        <w:spacing w:line="264" w:lineRule="auto"/>
        <w:ind w:firstLine="851"/>
        <w:jc w:val="both"/>
        <w:rPr>
          <w:i/>
          <w:iCs/>
          <w:sz w:val="24"/>
        </w:rPr>
      </w:pPr>
    </w:p>
    <w:p w14:paraId="0A078B84" w14:textId="77777777" w:rsidR="00437BD1" w:rsidRPr="000F1BA5" w:rsidRDefault="00437BD1" w:rsidP="00437BD1">
      <w:pPr>
        <w:pStyle w:val="Antrat2"/>
        <w:spacing w:line="264" w:lineRule="auto"/>
        <w:rPr>
          <w:i/>
          <w:iCs/>
          <w:sz w:val="24"/>
        </w:rPr>
      </w:pPr>
      <w:r w:rsidRPr="000F1BA5">
        <w:rPr>
          <w:i/>
          <w:iCs/>
          <w:sz w:val="24"/>
        </w:rPr>
        <w:t>Veiklos rezultatų ataskaita 2025 m. birželio 30 d.</w:t>
      </w:r>
    </w:p>
    <w:p w14:paraId="5E800943" w14:textId="77777777" w:rsidR="00437BD1" w:rsidRPr="000F1BA5" w:rsidRDefault="00437BD1" w:rsidP="00437BD1">
      <w:pPr>
        <w:spacing w:line="264" w:lineRule="auto"/>
        <w:ind w:firstLine="851"/>
        <w:jc w:val="both"/>
        <w:rPr>
          <w:b/>
        </w:rPr>
      </w:pPr>
    </w:p>
    <w:p w14:paraId="70F04606" w14:textId="77777777" w:rsidR="00437BD1" w:rsidRPr="000F1BA5" w:rsidRDefault="00437BD1" w:rsidP="00437BD1">
      <w:pPr>
        <w:spacing w:line="264" w:lineRule="auto"/>
        <w:ind w:firstLine="851"/>
        <w:jc w:val="both"/>
        <w:rPr>
          <w:b/>
        </w:rPr>
      </w:pPr>
      <w:r w:rsidRPr="000F1BA5">
        <w:rPr>
          <w:b/>
        </w:rPr>
        <w:t>7 pastaba. Pagrindinės veiklos pajamos.</w:t>
      </w:r>
    </w:p>
    <w:p w14:paraId="4CBB4998" w14:textId="77777777" w:rsidR="00437BD1" w:rsidRPr="000F1BA5" w:rsidRDefault="00437BD1" w:rsidP="00437BD1">
      <w:pPr>
        <w:tabs>
          <w:tab w:val="left" w:pos="709"/>
        </w:tabs>
        <w:spacing w:line="264" w:lineRule="auto"/>
        <w:ind w:firstLine="851"/>
        <w:jc w:val="both"/>
      </w:pPr>
      <w:r w:rsidRPr="000F1BA5">
        <w:t>2025 metais gauta 544 502 659,61 Eur finansavimo pajamų iš PSDF biudžeto. Finansavimo pajamos pateiktos 3-ojo VSAFAS 1 priede.</w:t>
      </w:r>
    </w:p>
    <w:p w14:paraId="480317F9" w14:textId="77777777" w:rsidR="00437BD1" w:rsidRPr="000F1BA5" w:rsidRDefault="00437BD1" w:rsidP="00437BD1">
      <w:pPr>
        <w:tabs>
          <w:tab w:val="left" w:pos="709"/>
        </w:tabs>
        <w:spacing w:line="264" w:lineRule="auto"/>
        <w:ind w:firstLine="851"/>
        <w:jc w:val="both"/>
      </w:pPr>
      <w:r w:rsidRPr="000F1BA5">
        <w:t xml:space="preserve">Informacija apie pagrindinės veiklos kitas pajamas pateikiama 10-ojo VSAFAS 1 priede nustatyta forma </w:t>
      </w:r>
      <w:r w:rsidRPr="000F1BA5">
        <w:rPr>
          <w:i/>
          <w:iCs/>
        </w:rPr>
        <w:t>(9 priedas).</w:t>
      </w:r>
      <w:r w:rsidRPr="000F1BA5">
        <w:t xml:space="preserve"> </w:t>
      </w:r>
    </w:p>
    <w:p w14:paraId="39BB776F" w14:textId="77777777" w:rsidR="00437BD1" w:rsidRPr="000F1BA5" w:rsidRDefault="00437BD1" w:rsidP="00437BD1">
      <w:pPr>
        <w:spacing w:line="264" w:lineRule="auto"/>
        <w:ind w:firstLine="851"/>
        <w:jc w:val="both"/>
        <w:rPr>
          <w:color w:val="FF0000"/>
        </w:rPr>
      </w:pPr>
      <w:r w:rsidRPr="000F1BA5">
        <w:t>Pagrindinės veiklos kitos pajamos (pervestinos) (0,00 Eur) – tai juridinių asmenų įmokos už kompensuojamųjų vaistų pasų keitimą (0,00 Eur). Pa</w:t>
      </w:r>
      <w:r w:rsidRPr="000F1BA5">
        <w:rPr>
          <w:rStyle w:val="ui-provider"/>
        </w:rPr>
        <w:t xml:space="preserve">lyginti su praėjusiu ataskaitiniu laikotarpiu, jos sumažėjo 1,00 Eur. </w:t>
      </w:r>
    </w:p>
    <w:p w14:paraId="67E1BE34" w14:textId="77777777" w:rsidR="00437BD1" w:rsidRPr="000F1BA5" w:rsidRDefault="00437BD1" w:rsidP="00437BD1">
      <w:pPr>
        <w:spacing w:line="264" w:lineRule="auto"/>
        <w:ind w:firstLine="851"/>
        <w:jc w:val="both"/>
        <w:rPr>
          <w:color w:val="FF0000"/>
        </w:rPr>
      </w:pPr>
    </w:p>
    <w:p w14:paraId="5A4ACBC6" w14:textId="77777777" w:rsidR="00437BD1" w:rsidRPr="000F1BA5" w:rsidRDefault="00437BD1" w:rsidP="00437BD1">
      <w:pPr>
        <w:spacing w:line="264" w:lineRule="auto"/>
        <w:ind w:firstLine="851"/>
        <w:jc w:val="both"/>
        <w:rPr>
          <w:b/>
        </w:rPr>
      </w:pPr>
      <w:r w:rsidRPr="000F1BA5">
        <w:rPr>
          <w:b/>
        </w:rPr>
        <w:t>8 pastaba. Pagrindinės veiklos sąnaudos.</w:t>
      </w:r>
    </w:p>
    <w:p w14:paraId="02784094" w14:textId="77777777" w:rsidR="00437BD1" w:rsidRPr="000F1BA5" w:rsidRDefault="00437BD1" w:rsidP="00437BD1">
      <w:pPr>
        <w:tabs>
          <w:tab w:val="left" w:pos="709"/>
        </w:tabs>
        <w:spacing w:line="264" w:lineRule="auto"/>
        <w:ind w:firstLine="851"/>
        <w:jc w:val="both"/>
      </w:pPr>
      <w:r w:rsidRPr="000F1BA5">
        <w:t>Pagrindinės 2025 metų veiklos sąnaudos (544 502 659,61 Eur) – tai socialinių išmokų sąnaudos.</w:t>
      </w:r>
    </w:p>
    <w:p w14:paraId="5A52127B" w14:textId="77777777" w:rsidR="00437BD1" w:rsidRPr="000F1BA5" w:rsidRDefault="00437BD1" w:rsidP="00437BD1">
      <w:pPr>
        <w:spacing w:line="264" w:lineRule="auto"/>
        <w:ind w:firstLine="851"/>
        <w:jc w:val="both"/>
      </w:pPr>
      <w:r w:rsidRPr="000F1BA5">
        <w:t>I</w:t>
      </w:r>
      <w:r w:rsidRPr="000F1BA5">
        <w:rPr>
          <w:rFonts w:eastAsiaTheme="minorHAnsi"/>
        </w:rPr>
        <w:t>šsamios pajamų ir sąnaudų palyginamosios analizės tarp 2024 m. ir 2025 m. šiuo metu neatliekamos, nes dėl įstaigų susijungimo ir nepilnų finansinių metų duomenys nėra tinkami palyginimui.</w:t>
      </w:r>
      <w:r w:rsidRPr="000F1BA5">
        <w:t xml:space="preserve"> Informacija apie socialinių išmokų sąnaudas pagal išmokų rūšis pateikiama lentelėje </w:t>
      </w:r>
      <w:r w:rsidRPr="000F1BA5">
        <w:rPr>
          <w:i/>
          <w:iCs/>
        </w:rPr>
        <w:t>(10 priedas).</w:t>
      </w:r>
      <w:r w:rsidRPr="000F1BA5">
        <w:t xml:space="preserve"> Pokyčio neskaičiuojame, </w:t>
      </w:r>
      <w:r w:rsidRPr="000F1BA5">
        <w:rPr>
          <w:rFonts w:eastAsiaTheme="minorHAnsi"/>
        </w:rPr>
        <w:t>kadangi dėl minėtų priežasčių nėra lygintini.</w:t>
      </w:r>
    </w:p>
    <w:p w14:paraId="199BD2AD" w14:textId="77777777" w:rsidR="00437BD1" w:rsidRPr="000F1BA5" w:rsidRDefault="00437BD1" w:rsidP="00437BD1">
      <w:pPr>
        <w:spacing w:line="264" w:lineRule="auto"/>
        <w:ind w:firstLine="851"/>
        <w:jc w:val="both"/>
      </w:pPr>
      <w:r w:rsidRPr="000F1BA5">
        <w:t>Vadovaujantis 11-ojo VSAFAS nuostatomis, Vilniaus TLK fondo apskaitoje nustatytos asmens sveikatos priežiūros įstaigos padarytos žalos dydžiu pagal PSDF išlaidų straipsnius mažinamos biudžeto sąnaudos. Per ataskaitinį laikotarpį ši suma – 161 384,29 Eur:</w:t>
      </w:r>
    </w:p>
    <w:p w14:paraId="09EE0719" w14:textId="72A369C0" w:rsidR="00437BD1" w:rsidRPr="000F1BA5" w:rsidRDefault="00437BD1" w:rsidP="00437BD1">
      <w:pPr>
        <w:spacing w:line="264" w:lineRule="auto"/>
        <w:ind w:firstLine="851"/>
        <w:jc w:val="both"/>
      </w:pPr>
      <w:r w:rsidRPr="000F1BA5">
        <w:t>- asmens sveikatos priežiūros paslaugoms apmokėti – 116 454,09</w:t>
      </w:r>
      <w:r w:rsidR="000F1BA5" w:rsidRPr="000F1BA5">
        <w:t xml:space="preserve"> </w:t>
      </w:r>
      <w:r w:rsidRPr="000F1BA5">
        <w:t>Eur;</w:t>
      </w:r>
    </w:p>
    <w:p w14:paraId="0B93122B" w14:textId="77777777" w:rsidR="00437BD1" w:rsidRPr="000F1BA5" w:rsidRDefault="00437BD1" w:rsidP="00437BD1">
      <w:pPr>
        <w:spacing w:line="264" w:lineRule="auto"/>
        <w:ind w:firstLine="851"/>
        <w:jc w:val="both"/>
      </w:pPr>
      <w:r w:rsidRPr="000F1BA5">
        <w:t xml:space="preserve">- širdies ir kraujagyslių  ligų  prevencijos  ir ankstyvosios  diagnostikos  programai  – </w:t>
      </w:r>
    </w:p>
    <w:p w14:paraId="242CA50F" w14:textId="77777777" w:rsidR="00437BD1" w:rsidRPr="000F1BA5" w:rsidRDefault="00437BD1" w:rsidP="00437BD1">
      <w:pPr>
        <w:spacing w:line="264" w:lineRule="auto"/>
        <w:jc w:val="both"/>
      </w:pPr>
      <w:r w:rsidRPr="000F1BA5">
        <w:t xml:space="preserve">5 927,10 Eur; </w:t>
      </w:r>
    </w:p>
    <w:p w14:paraId="5FC4F515" w14:textId="77777777" w:rsidR="00437BD1" w:rsidRPr="000F1BA5" w:rsidRDefault="00437BD1" w:rsidP="00437BD1">
      <w:pPr>
        <w:spacing w:line="264" w:lineRule="auto"/>
        <w:ind w:firstLine="851"/>
        <w:jc w:val="both"/>
      </w:pPr>
      <w:r w:rsidRPr="000F1BA5">
        <w:t xml:space="preserve">- dantų protezavimo paslaugų išlaidoms kompensuoti – 39 003,10 Eur. </w:t>
      </w:r>
    </w:p>
    <w:p w14:paraId="21FB0F28" w14:textId="77777777" w:rsidR="00437BD1" w:rsidRPr="000F1BA5" w:rsidRDefault="00437BD1" w:rsidP="00437BD1">
      <w:pPr>
        <w:spacing w:line="264" w:lineRule="auto"/>
        <w:ind w:firstLine="851"/>
        <w:jc w:val="both"/>
      </w:pPr>
      <w:r w:rsidRPr="000F1BA5">
        <w:t>Suma yra patikimai įvertinta.</w:t>
      </w:r>
    </w:p>
    <w:p w14:paraId="378133EB" w14:textId="77777777" w:rsidR="00437BD1" w:rsidRPr="000F1BA5" w:rsidRDefault="00437BD1" w:rsidP="002B3853">
      <w:pPr>
        <w:pStyle w:val="Pagrindiniotekstotrauka3"/>
        <w:spacing w:after="0" w:line="264" w:lineRule="auto"/>
        <w:ind w:left="0" w:firstLine="851"/>
        <w:jc w:val="both"/>
        <w:rPr>
          <w:sz w:val="24"/>
          <w:szCs w:val="24"/>
        </w:rPr>
      </w:pPr>
      <w:r w:rsidRPr="000F1BA5">
        <w:rPr>
          <w:sz w:val="24"/>
          <w:szCs w:val="24"/>
        </w:rPr>
        <w:t>Vadovaujantis subjekto principu, sąnaudos turi būti mažinamos tame subjekte, kuris jų turėjo. 161 384,29 Eur žalos dydžiu pagal kitus PSDF biudžeto išlaidų straipsnius sąnaudos mažintos Vilniaus TLK fondo apskaitoje.</w:t>
      </w:r>
    </w:p>
    <w:p w14:paraId="21C765B0" w14:textId="77777777" w:rsidR="00437BD1" w:rsidRPr="000F1BA5" w:rsidRDefault="00437BD1" w:rsidP="00437BD1">
      <w:pPr>
        <w:tabs>
          <w:tab w:val="left" w:pos="709"/>
        </w:tabs>
        <w:spacing w:line="264" w:lineRule="auto"/>
        <w:ind w:firstLine="851"/>
        <w:jc w:val="both"/>
      </w:pPr>
    </w:p>
    <w:p w14:paraId="7994DCFD" w14:textId="77777777" w:rsidR="00437BD1" w:rsidRPr="000F1BA5" w:rsidRDefault="00437BD1" w:rsidP="00437BD1">
      <w:pPr>
        <w:tabs>
          <w:tab w:val="left" w:pos="709"/>
        </w:tabs>
        <w:spacing w:line="264" w:lineRule="auto"/>
        <w:ind w:firstLine="851"/>
        <w:jc w:val="both"/>
        <w:rPr>
          <w:b/>
        </w:rPr>
      </w:pPr>
      <w:r w:rsidRPr="000F1BA5">
        <w:rPr>
          <w:b/>
        </w:rPr>
        <w:t>9 pastaba. Pagrindinės veiklos pinigų srautai.</w:t>
      </w:r>
    </w:p>
    <w:p w14:paraId="5EEEBDC2" w14:textId="77777777" w:rsidR="00437BD1" w:rsidRPr="000F1BA5" w:rsidRDefault="00437BD1" w:rsidP="002B3853">
      <w:pPr>
        <w:tabs>
          <w:tab w:val="left" w:pos="709"/>
        </w:tabs>
        <w:spacing w:line="264" w:lineRule="auto"/>
        <w:ind w:firstLine="851"/>
        <w:jc w:val="both"/>
        <w:rPr>
          <w:bCs/>
        </w:rPr>
      </w:pPr>
      <w:r w:rsidRPr="000F1BA5">
        <w:rPr>
          <w:bCs/>
        </w:rPr>
        <w:t>Per ataskaitinius metus gautos įplaukos sudarė 503 156 335,45 Eur, iš jų:</w:t>
      </w:r>
    </w:p>
    <w:p w14:paraId="07F2B264" w14:textId="165D800C" w:rsidR="00437BD1" w:rsidRPr="000F1BA5" w:rsidRDefault="002B3853" w:rsidP="002B3853">
      <w:pPr>
        <w:pStyle w:val="Sraopastraipa"/>
        <w:tabs>
          <w:tab w:val="left" w:pos="1560"/>
        </w:tabs>
        <w:spacing w:after="0" w:line="264" w:lineRule="auto"/>
        <w:ind w:left="0" w:firstLine="851"/>
        <w:mirrorIndents/>
        <w:jc w:val="both"/>
        <w:rPr>
          <w:rFonts w:ascii="Times New Roman" w:hAnsi="Times New Roman"/>
          <w:bCs/>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iš valstybės biudžeto – 2 658 194,15 Eur;</w:t>
      </w:r>
    </w:p>
    <w:p w14:paraId="04B263EC" w14:textId="303CA37F" w:rsidR="00437BD1" w:rsidRPr="000F1BA5" w:rsidRDefault="002B3853" w:rsidP="002B3853">
      <w:pPr>
        <w:pStyle w:val="Sraopastraipa"/>
        <w:tabs>
          <w:tab w:val="left" w:pos="1560"/>
        </w:tabs>
        <w:spacing w:after="0" w:line="264" w:lineRule="auto"/>
        <w:ind w:left="0" w:firstLine="851"/>
        <w:mirrorIndents/>
        <w:jc w:val="both"/>
        <w:rPr>
          <w:rFonts w:ascii="Times New Roman" w:hAnsi="Times New Roman"/>
          <w:bCs/>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iš kitų šaltinių – 500 283 685,81 Eur (finansavimo įplaukos iš PSDF biudžeto);</w:t>
      </w:r>
    </w:p>
    <w:p w14:paraId="4AB0140C" w14:textId="72090186" w:rsidR="00437BD1" w:rsidRPr="000F1BA5" w:rsidRDefault="002B3853" w:rsidP="002B3853">
      <w:pPr>
        <w:pStyle w:val="Sraopastraipa"/>
        <w:tabs>
          <w:tab w:val="left" w:pos="709"/>
          <w:tab w:val="left" w:pos="1560"/>
        </w:tabs>
        <w:spacing w:after="0" w:line="264" w:lineRule="auto"/>
        <w:ind w:left="0" w:firstLine="851"/>
        <w:mirrorIndents/>
        <w:jc w:val="both"/>
        <w:rPr>
          <w:rFonts w:ascii="Times New Roman" w:hAnsi="Times New Roman"/>
          <w:bCs/>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kitos įplaukos – 214 455,49 Eur, iš jų:</w:t>
      </w:r>
    </w:p>
    <w:p w14:paraId="5FFDFCDB" w14:textId="32FE62BE" w:rsidR="00437BD1" w:rsidRPr="000F1BA5" w:rsidRDefault="002B3853" w:rsidP="002B3853">
      <w:pPr>
        <w:pStyle w:val="Sraopastraipa"/>
        <w:tabs>
          <w:tab w:val="left" w:pos="1560"/>
        </w:tabs>
        <w:spacing w:after="0" w:line="264" w:lineRule="auto"/>
        <w:ind w:left="851"/>
        <w:jc w:val="both"/>
        <w:rPr>
          <w:rFonts w:ascii="Times New Roman" w:hAnsi="Times New Roman"/>
          <w:bCs/>
          <w:sz w:val="24"/>
          <w:szCs w:val="24"/>
        </w:rPr>
      </w:pPr>
      <w:r>
        <w:rPr>
          <w:rFonts w:ascii="Times New Roman" w:hAnsi="Times New Roman"/>
          <w:bCs/>
          <w:sz w:val="24"/>
          <w:szCs w:val="24"/>
        </w:rPr>
        <w:t xml:space="preserve">▪ </w:t>
      </w:r>
      <w:r w:rsidR="00437BD1" w:rsidRPr="000F1BA5">
        <w:rPr>
          <w:rFonts w:ascii="Times New Roman" w:hAnsi="Times New Roman"/>
          <w:bCs/>
          <w:sz w:val="24"/>
          <w:szCs w:val="24"/>
        </w:rPr>
        <w:t>juridinių asmenų padaryta žala PSDF biudžetui – 207 431,48 Eur;</w:t>
      </w:r>
    </w:p>
    <w:p w14:paraId="2DDA3800" w14:textId="1260413A" w:rsidR="00437BD1" w:rsidRPr="000F1BA5" w:rsidRDefault="002B3853" w:rsidP="002B3853">
      <w:pPr>
        <w:pStyle w:val="Sraopastraipa"/>
        <w:tabs>
          <w:tab w:val="left" w:pos="1560"/>
        </w:tabs>
        <w:spacing w:after="0" w:line="264" w:lineRule="auto"/>
        <w:ind w:left="0" w:firstLine="851"/>
        <w:jc w:val="both"/>
        <w:rPr>
          <w:rFonts w:ascii="Times New Roman" w:hAnsi="Times New Roman"/>
          <w:bCs/>
          <w:sz w:val="24"/>
          <w:szCs w:val="24"/>
        </w:rPr>
      </w:pPr>
      <w:r>
        <w:rPr>
          <w:rFonts w:ascii="Times New Roman" w:hAnsi="Times New Roman"/>
          <w:bCs/>
          <w:sz w:val="24"/>
          <w:szCs w:val="24"/>
        </w:rPr>
        <w:lastRenderedPageBreak/>
        <w:t xml:space="preserve">▪ </w:t>
      </w:r>
      <w:r w:rsidR="00437BD1" w:rsidRPr="000F1BA5">
        <w:rPr>
          <w:rFonts w:ascii="Times New Roman" w:hAnsi="Times New Roman"/>
          <w:bCs/>
          <w:sz w:val="24"/>
          <w:szCs w:val="24"/>
        </w:rPr>
        <w:t>kitos įplaukos – 7 024,01 Eur, kurias sudaro: klaidingai įplaukusi suma (100,00 Eur), dėl įstaigos uždarytos banko sąskaitos grąžinti mokėjimai (6 924,01 Eur), taip pat sumažintos pagal raštus PSDF biudžetui priskaičiuotos žalos sumos (349,97 Eur).</w:t>
      </w:r>
    </w:p>
    <w:p w14:paraId="27A314B2" w14:textId="77777777" w:rsidR="00437BD1" w:rsidRPr="000F1BA5" w:rsidRDefault="00437BD1" w:rsidP="002B3853">
      <w:pPr>
        <w:pStyle w:val="Sraopastraipa"/>
        <w:tabs>
          <w:tab w:val="left" w:pos="709"/>
          <w:tab w:val="left" w:pos="1560"/>
        </w:tabs>
        <w:spacing w:after="0" w:line="264" w:lineRule="auto"/>
        <w:ind w:left="0" w:firstLine="851"/>
        <w:jc w:val="both"/>
        <w:rPr>
          <w:rFonts w:ascii="Times New Roman" w:hAnsi="Times New Roman"/>
          <w:bCs/>
          <w:sz w:val="24"/>
          <w:szCs w:val="24"/>
        </w:rPr>
      </w:pPr>
      <w:r w:rsidRPr="000F1BA5">
        <w:rPr>
          <w:rFonts w:ascii="Times New Roman" w:hAnsi="Times New Roman"/>
          <w:bCs/>
          <w:sz w:val="24"/>
          <w:szCs w:val="24"/>
        </w:rPr>
        <w:t>Pervestos lėšos sudarė 2 243 941,22 Eur, iš jų:</w:t>
      </w:r>
    </w:p>
    <w:p w14:paraId="365DA916" w14:textId="584D3AD6" w:rsidR="00437BD1" w:rsidRPr="000F1BA5" w:rsidRDefault="002B3853" w:rsidP="002B3853">
      <w:pPr>
        <w:pStyle w:val="Sraopastraipa"/>
        <w:tabs>
          <w:tab w:val="left" w:pos="1701"/>
        </w:tabs>
        <w:spacing w:after="0" w:line="264" w:lineRule="auto"/>
        <w:ind w:left="0" w:firstLine="851"/>
        <w:jc w:val="both"/>
        <w:rPr>
          <w:rFonts w:ascii="Times New Roman" w:hAnsi="Times New Roman"/>
          <w:bCs/>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į kitus išteklių fondus – 4 500,00 Eur (grąžinto finansavimo įplaukos);</w:t>
      </w:r>
    </w:p>
    <w:p w14:paraId="422C8237" w14:textId="4526DF27" w:rsidR="00437BD1" w:rsidRPr="000F1BA5" w:rsidRDefault="002B3853" w:rsidP="002B3853">
      <w:pPr>
        <w:pStyle w:val="Sraopastraipa"/>
        <w:tabs>
          <w:tab w:val="left" w:pos="1701"/>
        </w:tabs>
        <w:spacing w:after="0" w:line="264" w:lineRule="auto"/>
        <w:ind w:left="0" w:firstLine="851"/>
        <w:jc w:val="both"/>
        <w:rPr>
          <w:rFonts w:ascii="Times New Roman" w:hAnsi="Times New Roman"/>
          <w:bCs/>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viešojo sektoriaus subjektams – 2 232 067,24 Eur, iš jų:</w:t>
      </w:r>
    </w:p>
    <w:p w14:paraId="408C4DEC" w14:textId="6DDE50EA" w:rsidR="00437BD1" w:rsidRPr="000F1BA5" w:rsidRDefault="002B3853" w:rsidP="002B3853">
      <w:pPr>
        <w:pStyle w:val="Sraopastraipa"/>
        <w:tabs>
          <w:tab w:val="left" w:pos="1701"/>
        </w:tabs>
        <w:spacing w:after="0" w:line="264" w:lineRule="auto"/>
        <w:ind w:left="851"/>
        <w:jc w:val="both"/>
        <w:rPr>
          <w:rFonts w:ascii="Times New Roman" w:hAnsi="Times New Roman"/>
          <w:bCs/>
          <w:sz w:val="24"/>
          <w:szCs w:val="24"/>
        </w:rPr>
      </w:pPr>
      <w:r>
        <w:rPr>
          <w:rFonts w:ascii="Times New Roman" w:hAnsi="Times New Roman"/>
          <w:bCs/>
          <w:sz w:val="24"/>
          <w:szCs w:val="24"/>
        </w:rPr>
        <w:t xml:space="preserve">▪ </w:t>
      </w:r>
      <w:r w:rsidR="00437BD1" w:rsidRPr="000F1BA5">
        <w:rPr>
          <w:rFonts w:ascii="Times New Roman" w:hAnsi="Times New Roman"/>
          <w:bCs/>
          <w:sz w:val="24"/>
          <w:szCs w:val="24"/>
        </w:rPr>
        <w:t>skubios konsultacinės sveikatos priežiūros programai - 1 784 500,00 Eur:</w:t>
      </w:r>
    </w:p>
    <w:p w14:paraId="61963DAF" w14:textId="1BB984C0" w:rsidR="00437BD1" w:rsidRPr="000F1BA5" w:rsidRDefault="002B3853" w:rsidP="002B3853">
      <w:pPr>
        <w:pStyle w:val="Sraopastraipa"/>
        <w:tabs>
          <w:tab w:val="left" w:pos="1701"/>
        </w:tabs>
        <w:spacing w:after="0" w:line="264" w:lineRule="auto"/>
        <w:ind w:left="851"/>
        <w:jc w:val="both"/>
        <w:rPr>
          <w:rFonts w:ascii="Times New Roman" w:hAnsi="Times New Roman"/>
          <w:bCs/>
          <w:sz w:val="24"/>
          <w:szCs w:val="24"/>
        </w:rPr>
      </w:pPr>
      <w:r>
        <w:rPr>
          <w:rFonts w:ascii="Times New Roman" w:hAnsi="Times New Roman"/>
          <w:bCs/>
          <w:sz w:val="24"/>
          <w:szCs w:val="24"/>
        </w:rPr>
        <w:t xml:space="preserve">▪ </w:t>
      </w:r>
      <w:r w:rsidR="00437BD1" w:rsidRPr="000F1BA5">
        <w:rPr>
          <w:rFonts w:ascii="Times New Roman" w:hAnsi="Times New Roman"/>
          <w:bCs/>
          <w:sz w:val="24"/>
          <w:szCs w:val="24"/>
        </w:rPr>
        <w:t>nacionalinei kraujo programai - 447 567,24 Eur;</w:t>
      </w:r>
    </w:p>
    <w:p w14:paraId="5BC95271" w14:textId="40AD49EE" w:rsidR="00437BD1" w:rsidRPr="000F1BA5" w:rsidRDefault="002B3853" w:rsidP="002B3853">
      <w:pPr>
        <w:pStyle w:val="Sraopastraipa"/>
        <w:tabs>
          <w:tab w:val="left" w:pos="1701"/>
        </w:tabs>
        <w:spacing w:after="0" w:line="264" w:lineRule="auto"/>
        <w:ind w:left="0" w:firstLine="851"/>
        <w:jc w:val="both"/>
        <w:rPr>
          <w:rFonts w:ascii="Times New Roman" w:hAnsi="Times New Roman"/>
          <w:bCs/>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kitiems subjektams – </w:t>
      </w:r>
      <w:r w:rsidR="00453039">
        <w:rPr>
          <w:rFonts w:ascii="Times New Roman" w:hAnsi="Times New Roman"/>
          <w:bCs/>
          <w:sz w:val="24"/>
          <w:szCs w:val="24"/>
        </w:rPr>
        <w:t>449,97</w:t>
      </w:r>
      <w:r w:rsidR="00437BD1" w:rsidRPr="000F1BA5">
        <w:rPr>
          <w:rFonts w:ascii="Times New Roman" w:hAnsi="Times New Roman"/>
          <w:bCs/>
          <w:sz w:val="24"/>
          <w:szCs w:val="24"/>
        </w:rPr>
        <w:t xml:space="preserve"> Eur, iš jų:</w:t>
      </w:r>
    </w:p>
    <w:p w14:paraId="556C9A28" w14:textId="4A17CFE6" w:rsidR="00437BD1" w:rsidRPr="000F1BA5" w:rsidRDefault="002B3853" w:rsidP="002B3853">
      <w:pPr>
        <w:pStyle w:val="Sraopastraipa"/>
        <w:tabs>
          <w:tab w:val="left" w:pos="1701"/>
        </w:tabs>
        <w:spacing w:after="0" w:line="264" w:lineRule="auto"/>
        <w:ind w:left="851"/>
        <w:jc w:val="both"/>
        <w:rPr>
          <w:rFonts w:ascii="Times New Roman" w:hAnsi="Times New Roman"/>
          <w:bCs/>
          <w:sz w:val="24"/>
          <w:szCs w:val="24"/>
        </w:rPr>
      </w:pPr>
      <w:r>
        <w:rPr>
          <w:rFonts w:ascii="Times New Roman" w:hAnsi="Times New Roman"/>
          <w:bCs/>
          <w:sz w:val="24"/>
          <w:szCs w:val="24"/>
        </w:rPr>
        <w:t xml:space="preserve">▪ </w:t>
      </w:r>
      <w:r w:rsidR="00437BD1" w:rsidRPr="000F1BA5">
        <w:rPr>
          <w:rFonts w:ascii="Times New Roman" w:hAnsi="Times New Roman"/>
          <w:bCs/>
          <w:sz w:val="24"/>
          <w:szCs w:val="24"/>
        </w:rPr>
        <w:t>klaidingai pervestos lėšos (100,00 Eur),</w:t>
      </w:r>
    </w:p>
    <w:p w14:paraId="65505548" w14:textId="31E85319" w:rsidR="00437BD1" w:rsidRPr="000F1BA5" w:rsidRDefault="002B3853" w:rsidP="002B3853">
      <w:pPr>
        <w:pStyle w:val="Sraopastraipa"/>
        <w:tabs>
          <w:tab w:val="left" w:pos="1701"/>
        </w:tabs>
        <w:spacing w:after="0" w:line="264" w:lineRule="auto"/>
        <w:ind w:left="0" w:firstLine="851"/>
        <w:jc w:val="both"/>
        <w:rPr>
          <w:rFonts w:ascii="Times New Roman" w:hAnsi="Times New Roman"/>
          <w:bCs/>
          <w:sz w:val="24"/>
          <w:szCs w:val="24"/>
        </w:rPr>
      </w:pPr>
      <w:r>
        <w:rPr>
          <w:rFonts w:ascii="Times New Roman" w:hAnsi="Times New Roman"/>
          <w:bCs/>
          <w:sz w:val="24"/>
          <w:szCs w:val="24"/>
        </w:rPr>
        <w:t xml:space="preserve">▪ </w:t>
      </w:r>
      <w:r w:rsidR="00437BD1" w:rsidRPr="000F1BA5">
        <w:rPr>
          <w:rFonts w:ascii="Times New Roman" w:hAnsi="Times New Roman"/>
          <w:bCs/>
          <w:sz w:val="24"/>
          <w:szCs w:val="24"/>
        </w:rPr>
        <w:t>grąžinti mokėjimai dėl sumažintos PSDF biudžetui priskaičiuotos žalos sumos (349,97 Eur).</w:t>
      </w:r>
    </w:p>
    <w:p w14:paraId="55E49DB8" w14:textId="49F1D871" w:rsidR="00437BD1" w:rsidRPr="000F1BA5" w:rsidRDefault="00437BD1" w:rsidP="002B3853">
      <w:pPr>
        <w:spacing w:line="264" w:lineRule="auto"/>
        <w:ind w:firstLine="851"/>
        <w:jc w:val="both"/>
        <w:rPr>
          <w:bCs/>
        </w:rPr>
      </w:pPr>
      <w:r w:rsidRPr="000F1BA5">
        <w:rPr>
          <w:bCs/>
        </w:rPr>
        <w:t>Išmokos – 500 9</w:t>
      </w:r>
      <w:r w:rsidR="00453039">
        <w:rPr>
          <w:bCs/>
        </w:rPr>
        <w:t>19 318,24</w:t>
      </w:r>
      <w:r w:rsidRPr="000F1BA5">
        <w:rPr>
          <w:bCs/>
        </w:rPr>
        <w:t>, iš jų:</w:t>
      </w:r>
    </w:p>
    <w:p w14:paraId="3E8391A2" w14:textId="06A87D3F" w:rsidR="00437BD1" w:rsidRDefault="002B3853" w:rsidP="002B3853">
      <w:pPr>
        <w:pStyle w:val="Sraopastraipa"/>
        <w:spacing w:after="0" w:line="264" w:lineRule="auto"/>
        <w:ind w:left="0" w:firstLine="851"/>
        <w:jc w:val="both"/>
        <w:rPr>
          <w:rFonts w:ascii="Times New Roman" w:hAnsi="Times New Roman"/>
          <w:sz w:val="24"/>
          <w:szCs w:val="24"/>
        </w:rPr>
      </w:pPr>
      <w:r>
        <w:rPr>
          <w:rFonts w:ascii="Times New Roman" w:hAnsi="Times New Roman"/>
          <w:bCs/>
          <w:sz w:val="24"/>
          <w:szCs w:val="24"/>
        </w:rPr>
        <w:t>−</w:t>
      </w:r>
      <w:r w:rsidR="00437BD1" w:rsidRPr="000F1BA5">
        <w:rPr>
          <w:rFonts w:ascii="Times New Roman" w:hAnsi="Times New Roman"/>
          <w:bCs/>
          <w:sz w:val="24"/>
          <w:szCs w:val="24"/>
        </w:rPr>
        <w:t xml:space="preserve"> socialinės išmokos – 500 912 394,23 Eur</w:t>
      </w:r>
      <w:r w:rsidR="00FB2A85">
        <w:rPr>
          <w:rFonts w:ascii="Times New Roman" w:hAnsi="Times New Roman"/>
          <w:sz w:val="24"/>
          <w:szCs w:val="24"/>
        </w:rPr>
        <w:t>;</w:t>
      </w:r>
    </w:p>
    <w:p w14:paraId="39C754FE" w14:textId="709806AE" w:rsidR="00437BD1" w:rsidRDefault="00FB2A85" w:rsidP="00437BD1">
      <w:pPr>
        <w:spacing w:line="264" w:lineRule="auto"/>
        <w:ind w:firstLine="851"/>
        <w:jc w:val="both"/>
        <w:rPr>
          <w:bCs/>
        </w:rPr>
      </w:pPr>
      <w:r>
        <w:rPr>
          <w:bCs/>
        </w:rPr>
        <w:t>−</w:t>
      </w:r>
      <w:r w:rsidRPr="000F1BA5">
        <w:rPr>
          <w:bCs/>
        </w:rPr>
        <w:t xml:space="preserve"> </w:t>
      </w:r>
      <w:r>
        <w:rPr>
          <w:bCs/>
        </w:rPr>
        <w:t>kitos</w:t>
      </w:r>
      <w:r w:rsidRPr="000F1BA5">
        <w:rPr>
          <w:bCs/>
        </w:rPr>
        <w:t xml:space="preserve"> išmokos – </w:t>
      </w:r>
      <w:r>
        <w:rPr>
          <w:bCs/>
        </w:rPr>
        <w:t>6 924,01</w:t>
      </w:r>
      <w:r w:rsidRPr="000F1BA5">
        <w:rPr>
          <w:bCs/>
        </w:rPr>
        <w:t xml:space="preserve"> Eur</w:t>
      </w:r>
      <w:r w:rsidR="00295794">
        <w:rPr>
          <w:bCs/>
        </w:rPr>
        <w:t xml:space="preserve"> (pakartotinai pervestos lėšos įstaigoms patikslinus banko sąskaitą)</w:t>
      </w:r>
      <w:r>
        <w:rPr>
          <w:bCs/>
        </w:rPr>
        <w:t>.</w:t>
      </w:r>
    </w:p>
    <w:p w14:paraId="6E4EF862" w14:textId="77777777" w:rsidR="00FB2A85" w:rsidRPr="000F1BA5" w:rsidRDefault="00FB2A85" w:rsidP="00437BD1">
      <w:pPr>
        <w:spacing w:line="264" w:lineRule="auto"/>
        <w:ind w:firstLine="851"/>
        <w:jc w:val="both"/>
        <w:rPr>
          <w:b/>
        </w:rPr>
      </w:pPr>
    </w:p>
    <w:p w14:paraId="5876BC02" w14:textId="0A4FFDC6" w:rsidR="00437BD1" w:rsidRPr="000F1BA5" w:rsidRDefault="00437BD1" w:rsidP="00437BD1">
      <w:pPr>
        <w:spacing w:line="264" w:lineRule="auto"/>
        <w:ind w:firstLine="851"/>
        <w:jc w:val="both"/>
        <w:rPr>
          <w:b/>
        </w:rPr>
      </w:pPr>
      <w:r w:rsidRPr="000F1BA5">
        <w:rPr>
          <w:b/>
        </w:rPr>
        <w:t>10 pastaba. Grynasis turtas.</w:t>
      </w:r>
    </w:p>
    <w:p w14:paraId="5E176F7E" w14:textId="77777777" w:rsidR="00437BD1" w:rsidRPr="000F1BA5" w:rsidRDefault="00437BD1" w:rsidP="00437BD1">
      <w:pPr>
        <w:tabs>
          <w:tab w:val="left" w:pos="709"/>
        </w:tabs>
        <w:spacing w:line="264" w:lineRule="auto"/>
        <w:ind w:firstLine="851"/>
        <w:jc w:val="both"/>
      </w:pPr>
      <w:r w:rsidRPr="000F1BA5">
        <w:rPr>
          <w:b/>
        </w:rPr>
        <w:tab/>
      </w:r>
      <w:r w:rsidRPr="000F1BA5">
        <w:t>Grynojo turto likučio ataskaitinio laikotarpio pabaigoje nėra.</w:t>
      </w:r>
    </w:p>
    <w:p w14:paraId="441D1BA6" w14:textId="77777777" w:rsidR="00437BD1" w:rsidRPr="000F1BA5" w:rsidRDefault="00437BD1" w:rsidP="00437BD1">
      <w:pPr>
        <w:spacing w:line="264" w:lineRule="auto"/>
        <w:ind w:firstLine="851"/>
        <w:jc w:val="both"/>
      </w:pPr>
    </w:p>
    <w:p w14:paraId="2BBA9835" w14:textId="77777777" w:rsidR="00437BD1" w:rsidRPr="000F1BA5" w:rsidRDefault="00437BD1" w:rsidP="002B3853">
      <w:pPr>
        <w:spacing w:line="264" w:lineRule="auto"/>
        <w:jc w:val="center"/>
        <w:rPr>
          <w:b/>
          <w:bCs/>
        </w:rPr>
      </w:pPr>
      <w:r w:rsidRPr="000F1BA5">
        <w:rPr>
          <w:b/>
          <w:bCs/>
        </w:rPr>
        <w:t>Nebalansinė sąskaita</w:t>
      </w:r>
    </w:p>
    <w:p w14:paraId="306DE81F" w14:textId="77777777" w:rsidR="00437BD1" w:rsidRPr="000F1BA5" w:rsidRDefault="00437BD1" w:rsidP="00437BD1">
      <w:pPr>
        <w:pStyle w:val="Sraopastraipa"/>
        <w:tabs>
          <w:tab w:val="left" w:pos="851"/>
        </w:tabs>
        <w:spacing w:after="0" w:line="264" w:lineRule="auto"/>
        <w:ind w:firstLine="851"/>
        <w:jc w:val="both"/>
        <w:rPr>
          <w:rFonts w:ascii="Times New Roman" w:hAnsi="Times New Roman"/>
          <w:sz w:val="24"/>
          <w:szCs w:val="24"/>
        </w:rPr>
      </w:pPr>
    </w:p>
    <w:p w14:paraId="036EAFF4" w14:textId="758A6D95" w:rsidR="00437BD1" w:rsidRPr="000F1BA5" w:rsidRDefault="00437BD1" w:rsidP="00437BD1">
      <w:pPr>
        <w:pStyle w:val="Sraopastraipa"/>
        <w:tabs>
          <w:tab w:val="left" w:pos="851"/>
        </w:tabs>
        <w:spacing w:after="0" w:line="264" w:lineRule="auto"/>
        <w:ind w:left="0" w:firstLine="851"/>
        <w:jc w:val="both"/>
        <w:rPr>
          <w:rFonts w:ascii="Times New Roman" w:hAnsi="Times New Roman"/>
          <w:sz w:val="24"/>
          <w:szCs w:val="24"/>
        </w:rPr>
      </w:pPr>
      <w:r w:rsidRPr="000F1BA5">
        <w:rPr>
          <w:rFonts w:ascii="Times New Roman" w:hAnsi="Times New Roman"/>
          <w:sz w:val="24"/>
          <w:szCs w:val="24"/>
        </w:rPr>
        <w:t xml:space="preserve">Nebalansinėje sąskaitoje 2017 m. gruodžio 31 d. buvo užregistruota neapibrėžtų trumpalaikių </w:t>
      </w:r>
      <w:r w:rsidR="001476EB">
        <w:rPr>
          <w:rFonts w:ascii="Times New Roman" w:hAnsi="Times New Roman"/>
          <w:sz w:val="24"/>
          <w:szCs w:val="24"/>
        </w:rPr>
        <w:t xml:space="preserve"> </w:t>
      </w:r>
      <w:r w:rsidR="00453039">
        <w:rPr>
          <w:rFonts w:ascii="Times New Roman" w:hAnsi="Times New Roman"/>
          <w:sz w:val="24"/>
          <w:szCs w:val="24"/>
        </w:rPr>
        <w:t xml:space="preserve"> </w:t>
      </w:r>
      <w:r w:rsidRPr="000F1BA5">
        <w:rPr>
          <w:rFonts w:ascii="Times New Roman" w:hAnsi="Times New Roman"/>
          <w:sz w:val="24"/>
          <w:szCs w:val="24"/>
        </w:rPr>
        <w:t xml:space="preserve">įsipareigojimų </w:t>
      </w:r>
      <w:r w:rsidR="001476EB">
        <w:rPr>
          <w:rFonts w:ascii="Times New Roman" w:hAnsi="Times New Roman"/>
          <w:sz w:val="24"/>
          <w:szCs w:val="24"/>
        </w:rPr>
        <w:t xml:space="preserve"> </w:t>
      </w:r>
      <w:r w:rsidR="00453039">
        <w:rPr>
          <w:rFonts w:ascii="Times New Roman" w:hAnsi="Times New Roman"/>
          <w:sz w:val="24"/>
          <w:szCs w:val="24"/>
        </w:rPr>
        <w:t xml:space="preserve"> </w:t>
      </w:r>
      <w:r w:rsidRPr="000F1BA5">
        <w:rPr>
          <w:rFonts w:ascii="Times New Roman" w:hAnsi="Times New Roman"/>
          <w:sz w:val="24"/>
          <w:szCs w:val="24"/>
        </w:rPr>
        <w:t xml:space="preserve">už </w:t>
      </w:r>
      <w:r w:rsidR="001476EB">
        <w:rPr>
          <w:rFonts w:ascii="Times New Roman" w:hAnsi="Times New Roman"/>
          <w:sz w:val="24"/>
          <w:szCs w:val="24"/>
        </w:rPr>
        <w:t xml:space="preserve"> </w:t>
      </w:r>
      <w:r w:rsidR="00453039">
        <w:rPr>
          <w:rFonts w:ascii="Times New Roman" w:hAnsi="Times New Roman"/>
          <w:sz w:val="24"/>
          <w:szCs w:val="24"/>
        </w:rPr>
        <w:t xml:space="preserve"> </w:t>
      </w:r>
      <w:r w:rsidRPr="000F1BA5">
        <w:rPr>
          <w:rFonts w:ascii="Times New Roman" w:hAnsi="Times New Roman"/>
          <w:sz w:val="24"/>
          <w:szCs w:val="24"/>
        </w:rPr>
        <w:t xml:space="preserve">dantų </w:t>
      </w:r>
      <w:r w:rsidR="001476EB">
        <w:rPr>
          <w:rFonts w:ascii="Times New Roman" w:hAnsi="Times New Roman"/>
          <w:sz w:val="24"/>
          <w:szCs w:val="24"/>
        </w:rPr>
        <w:t xml:space="preserve"> </w:t>
      </w:r>
      <w:r w:rsidR="00453039">
        <w:rPr>
          <w:rFonts w:ascii="Times New Roman" w:hAnsi="Times New Roman"/>
          <w:sz w:val="24"/>
          <w:szCs w:val="24"/>
        </w:rPr>
        <w:t xml:space="preserve"> </w:t>
      </w:r>
      <w:r w:rsidRPr="000F1BA5">
        <w:rPr>
          <w:rFonts w:ascii="Times New Roman" w:hAnsi="Times New Roman"/>
          <w:sz w:val="24"/>
          <w:szCs w:val="24"/>
        </w:rPr>
        <w:t xml:space="preserve">protezavimą – 280,93 </w:t>
      </w:r>
      <w:r w:rsidR="001476EB">
        <w:rPr>
          <w:rFonts w:ascii="Times New Roman" w:hAnsi="Times New Roman"/>
          <w:sz w:val="24"/>
          <w:szCs w:val="24"/>
        </w:rPr>
        <w:t xml:space="preserve">  </w:t>
      </w:r>
      <w:r w:rsidRPr="000F1BA5">
        <w:rPr>
          <w:rFonts w:ascii="Times New Roman" w:hAnsi="Times New Roman"/>
          <w:sz w:val="24"/>
          <w:szCs w:val="24"/>
        </w:rPr>
        <w:t xml:space="preserve">Eur, </w:t>
      </w:r>
      <w:r w:rsidR="00453039">
        <w:rPr>
          <w:rFonts w:ascii="Times New Roman" w:hAnsi="Times New Roman"/>
          <w:sz w:val="24"/>
          <w:szCs w:val="24"/>
        </w:rPr>
        <w:t xml:space="preserve"> </w:t>
      </w:r>
      <w:r w:rsidR="001476EB">
        <w:rPr>
          <w:rFonts w:ascii="Times New Roman" w:hAnsi="Times New Roman"/>
          <w:sz w:val="24"/>
          <w:szCs w:val="24"/>
        </w:rPr>
        <w:t xml:space="preserve"> </w:t>
      </w:r>
      <w:r w:rsidRPr="000F1BA5">
        <w:rPr>
          <w:rFonts w:ascii="Times New Roman" w:hAnsi="Times New Roman"/>
          <w:sz w:val="24"/>
          <w:szCs w:val="24"/>
        </w:rPr>
        <w:t xml:space="preserve">2023 m. </w:t>
      </w:r>
      <w:r w:rsidR="00453039">
        <w:rPr>
          <w:rFonts w:ascii="Times New Roman" w:hAnsi="Times New Roman"/>
          <w:sz w:val="24"/>
          <w:szCs w:val="24"/>
        </w:rPr>
        <w:t xml:space="preserve"> </w:t>
      </w:r>
      <w:r w:rsidR="001476EB">
        <w:rPr>
          <w:rFonts w:ascii="Times New Roman" w:hAnsi="Times New Roman"/>
          <w:sz w:val="24"/>
          <w:szCs w:val="24"/>
        </w:rPr>
        <w:t xml:space="preserve">  </w:t>
      </w:r>
      <w:r w:rsidRPr="000F1BA5">
        <w:rPr>
          <w:rFonts w:ascii="Times New Roman" w:hAnsi="Times New Roman"/>
          <w:sz w:val="24"/>
          <w:szCs w:val="24"/>
        </w:rPr>
        <w:t>kovo</w:t>
      </w:r>
      <w:r w:rsidR="001476EB">
        <w:rPr>
          <w:rFonts w:ascii="Times New Roman" w:hAnsi="Times New Roman"/>
          <w:sz w:val="24"/>
          <w:szCs w:val="24"/>
        </w:rPr>
        <w:t xml:space="preserve"> </w:t>
      </w:r>
      <w:r w:rsidRPr="000F1BA5">
        <w:rPr>
          <w:rFonts w:ascii="Times New Roman" w:hAnsi="Times New Roman"/>
          <w:sz w:val="24"/>
          <w:szCs w:val="24"/>
        </w:rPr>
        <w:t xml:space="preserve"> </w:t>
      </w:r>
      <w:r w:rsidR="00453039">
        <w:rPr>
          <w:rFonts w:ascii="Times New Roman" w:hAnsi="Times New Roman"/>
          <w:sz w:val="24"/>
          <w:szCs w:val="24"/>
        </w:rPr>
        <w:t xml:space="preserve"> </w:t>
      </w:r>
      <w:r w:rsidRPr="000F1BA5">
        <w:rPr>
          <w:rFonts w:ascii="Times New Roman" w:hAnsi="Times New Roman"/>
          <w:sz w:val="24"/>
          <w:szCs w:val="24"/>
        </w:rPr>
        <w:t xml:space="preserve">30 d. – 7 297,03 Eur, 2025 m. gegužės 1 d. už Lietuvos apdraustųjų gydymo Europos Sąjungos šalyse išlaidas – 50,10 Eur. Iš viso 7 628,06 Eur suma, priklausanti kompensacijai už dantų protezavimą ir gydymą ES šalyse, nebuvo pervesta asmenims, kurių sąskaitos yra uždarytos ir su kuriais nėra galimybės susisiekti. </w:t>
      </w:r>
    </w:p>
    <w:p w14:paraId="4860CA14" w14:textId="77777777" w:rsidR="00437BD1" w:rsidRPr="000F1BA5" w:rsidRDefault="00437BD1" w:rsidP="00437BD1">
      <w:pPr>
        <w:tabs>
          <w:tab w:val="left" w:pos="709"/>
        </w:tabs>
        <w:spacing w:line="264" w:lineRule="auto"/>
        <w:ind w:firstLine="851"/>
        <w:jc w:val="both"/>
        <w:rPr>
          <w:color w:val="FF0000"/>
        </w:rPr>
      </w:pPr>
      <w:r w:rsidRPr="000F1BA5">
        <w:t>Neapibrėžtieji įsipareigojimai (371 538,80 Eur): ataskaitinio laikotarpio pabaigoje neapibrėžtuosius įsipareigojimus sudaro skola fiziniams asmenims, kurie savo lėšomis sumokėjo už dantų protezavimo paslaugas yra mirę ir nėra paveldėtojų.</w:t>
      </w:r>
      <w:r w:rsidRPr="000F1BA5">
        <w:rPr>
          <w:color w:val="FF0000"/>
        </w:rPr>
        <w:t xml:space="preserve"> </w:t>
      </w:r>
    </w:p>
    <w:p w14:paraId="44354213" w14:textId="77777777" w:rsidR="00437BD1" w:rsidRPr="000F1BA5" w:rsidRDefault="00437BD1" w:rsidP="00437BD1">
      <w:pPr>
        <w:tabs>
          <w:tab w:val="left" w:pos="709"/>
        </w:tabs>
        <w:spacing w:line="264" w:lineRule="auto"/>
        <w:ind w:firstLine="851"/>
        <w:jc w:val="both"/>
      </w:pPr>
      <w:r w:rsidRPr="000F1BA5">
        <w:t>2025 m. duomenimis, nebalansinėje sąskaitoje yra registruotos šios sumos, susijusios su žalos atlyginimu, kurių išieškojimo procesai dar nėra baigti arba mokėjimai neįvykdyti (158 787,54 Eur):</w:t>
      </w:r>
    </w:p>
    <w:p w14:paraId="4A34A074" w14:textId="77777777" w:rsidR="00437BD1" w:rsidRPr="000F1BA5" w:rsidRDefault="00437BD1" w:rsidP="00437BD1">
      <w:pPr>
        <w:tabs>
          <w:tab w:val="left" w:pos="709"/>
        </w:tabs>
        <w:spacing w:line="264" w:lineRule="auto"/>
        <w:ind w:firstLine="851"/>
        <w:jc w:val="both"/>
      </w:pPr>
      <w:r w:rsidRPr="000F1BA5">
        <w:t>Vilniaus miesto apylinkės teisme nagrinėjami ieškiniai dėl žalos, susijusios su šiomis įstaigomis (87 050,57 Eur):</w:t>
      </w:r>
    </w:p>
    <w:p w14:paraId="5FFC5BE7" w14:textId="77777777" w:rsidR="00437BD1" w:rsidRPr="000F1BA5" w:rsidRDefault="00437BD1" w:rsidP="00437BD1">
      <w:pPr>
        <w:numPr>
          <w:ilvl w:val="0"/>
          <w:numId w:val="2"/>
        </w:numPr>
        <w:spacing w:line="264" w:lineRule="auto"/>
        <w:ind w:left="0" w:firstLine="851"/>
        <w:jc w:val="both"/>
      </w:pPr>
      <w:r w:rsidRPr="000F1BA5">
        <w:t>VšĮ I. Kelbauskienės šeimos klinika – registruota suma 12 849,92 Eur;</w:t>
      </w:r>
    </w:p>
    <w:p w14:paraId="6F5E9DFB" w14:textId="77777777" w:rsidR="00437BD1" w:rsidRPr="000F1BA5" w:rsidRDefault="00437BD1" w:rsidP="00437BD1">
      <w:pPr>
        <w:numPr>
          <w:ilvl w:val="0"/>
          <w:numId w:val="2"/>
        </w:numPr>
        <w:spacing w:line="264" w:lineRule="auto"/>
        <w:ind w:left="0" w:firstLine="851"/>
        <w:jc w:val="both"/>
      </w:pPr>
      <w:r w:rsidRPr="000F1BA5">
        <w:t>UAB Hcasista – registruota suma 42 346,57 Eur;</w:t>
      </w:r>
    </w:p>
    <w:p w14:paraId="1BDFAA0F" w14:textId="77777777" w:rsidR="00437BD1" w:rsidRPr="000F1BA5" w:rsidRDefault="00437BD1" w:rsidP="00437BD1">
      <w:pPr>
        <w:numPr>
          <w:ilvl w:val="0"/>
          <w:numId w:val="2"/>
        </w:numPr>
        <w:spacing w:line="264" w:lineRule="auto"/>
        <w:ind w:left="0" w:firstLine="851"/>
        <w:jc w:val="both"/>
      </w:pPr>
      <w:r w:rsidRPr="000F1BA5">
        <w:t>UAB  Baltijos  ir  Amerikos  terapijos  ir  chirurgijos  klinika  – registruota   suma  31 854,08 Eur.</w:t>
      </w:r>
    </w:p>
    <w:p w14:paraId="6E8BCF4C" w14:textId="77777777" w:rsidR="00437BD1" w:rsidRPr="000F1BA5" w:rsidRDefault="00437BD1" w:rsidP="00437BD1">
      <w:pPr>
        <w:tabs>
          <w:tab w:val="left" w:pos="709"/>
        </w:tabs>
        <w:spacing w:line="264" w:lineRule="auto"/>
        <w:ind w:firstLine="851"/>
        <w:jc w:val="both"/>
      </w:pPr>
      <w:r w:rsidRPr="000F1BA5">
        <w:t>Taip pat ieškinys dėl žalos nagrinėjamas Utenos apylinkės teisme Ignalinos rūmuose Švenčionyse (19 457,50 Eur), susijęs su:</w:t>
      </w:r>
    </w:p>
    <w:p w14:paraId="049C8C40" w14:textId="77777777" w:rsidR="00437BD1" w:rsidRPr="000F1BA5" w:rsidRDefault="00437BD1" w:rsidP="00437BD1">
      <w:pPr>
        <w:numPr>
          <w:ilvl w:val="0"/>
          <w:numId w:val="3"/>
        </w:numPr>
        <w:spacing w:line="264" w:lineRule="auto"/>
        <w:ind w:left="0" w:firstLine="851"/>
        <w:jc w:val="both"/>
      </w:pPr>
      <w:r w:rsidRPr="000F1BA5">
        <w:t>IĮ Rokardi – registruota suma 19 457,50 Eur.</w:t>
      </w:r>
    </w:p>
    <w:p w14:paraId="04BD2DA0" w14:textId="77777777" w:rsidR="00437BD1" w:rsidRPr="000F1BA5" w:rsidRDefault="00437BD1" w:rsidP="00437BD1">
      <w:pPr>
        <w:tabs>
          <w:tab w:val="left" w:pos="709"/>
        </w:tabs>
        <w:spacing w:line="264" w:lineRule="auto"/>
        <w:ind w:firstLine="851"/>
        <w:jc w:val="both"/>
      </w:pPr>
      <w:r w:rsidRPr="000F1BA5">
        <w:t>Be teismo procesų, yra įstaigų, kurioms buvo nustatyti mokėjimo terminai arba vyksta ginčų sprendimo procedūros (52 279,47 Eur):</w:t>
      </w:r>
    </w:p>
    <w:p w14:paraId="688BF358" w14:textId="77777777" w:rsidR="00437BD1" w:rsidRPr="000F1BA5" w:rsidRDefault="00437BD1" w:rsidP="00437BD1">
      <w:pPr>
        <w:pStyle w:val="Sraopastraipa"/>
        <w:numPr>
          <w:ilvl w:val="0"/>
          <w:numId w:val="4"/>
        </w:numPr>
        <w:spacing w:after="0" w:line="264" w:lineRule="auto"/>
        <w:ind w:left="0" w:firstLine="851"/>
        <w:jc w:val="both"/>
        <w:rPr>
          <w:rFonts w:ascii="Times New Roman" w:hAnsi="Times New Roman"/>
          <w:sz w:val="24"/>
          <w:szCs w:val="24"/>
        </w:rPr>
      </w:pPr>
      <w:r w:rsidRPr="000F1BA5">
        <w:rPr>
          <w:rFonts w:ascii="Times New Roman" w:hAnsi="Times New Roman"/>
          <w:sz w:val="24"/>
          <w:szCs w:val="24"/>
        </w:rPr>
        <w:t>UAB Addere – registruota suma 34 991,33 Eur;</w:t>
      </w:r>
    </w:p>
    <w:p w14:paraId="5C0354DA" w14:textId="77777777" w:rsidR="00437BD1" w:rsidRPr="000F1BA5" w:rsidRDefault="00437BD1" w:rsidP="00437BD1">
      <w:pPr>
        <w:pStyle w:val="Sraopastraipa"/>
        <w:numPr>
          <w:ilvl w:val="0"/>
          <w:numId w:val="4"/>
        </w:numPr>
        <w:spacing w:after="0" w:line="264" w:lineRule="auto"/>
        <w:ind w:left="0" w:firstLine="851"/>
        <w:jc w:val="both"/>
        <w:rPr>
          <w:rFonts w:ascii="Times New Roman" w:hAnsi="Times New Roman"/>
          <w:sz w:val="24"/>
          <w:szCs w:val="24"/>
        </w:rPr>
      </w:pPr>
      <w:r w:rsidRPr="000F1BA5">
        <w:rPr>
          <w:rFonts w:ascii="Times New Roman" w:hAnsi="Times New Roman"/>
          <w:sz w:val="24"/>
          <w:szCs w:val="24"/>
        </w:rPr>
        <w:t>V.  Staliulionienės  bendrosios praktikos  gydytojo  kabinetas  – registruota  suma  11 210,40 Eur;</w:t>
      </w:r>
    </w:p>
    <w:p w14:paraId="06DB1FE4" w14:textId="77777777" w:rsidR="00437BD1" w:rsidRPr="000F1BA5" w:rsidRDefault="00437BD1" w:rsidP="00437BD1">
      <w:pPr>
        <w:pStyle w:val="Sraopastraipa"/>
        <w:numPr>
          <w:ilvl w:val="0"/>
          <w:numId w:val="4"/>
        </w:numPr>
        <w:spacing w:after="0" w:line="264" w:lineRule="auto"/>
        <w:ind w:left="0" w:firstLine="851"/>
        <w:jc w:val="both"/>
        <w:rPr>
          <w:rFonts w:ascii="Times New Roman" w:hAnsi="Times New Roman"/>
          <w:sz w:val="24"/>
          <w:szCs w:val="24"/>
        </w:rPr>
      </w:pPr>
      <w:r w:rsidRPr="000F1BA5">
        <w:rPr>
          <w:rFonts w:ascii="Times New Roman" w:hAnsi="Times New Roman"/>
          <w:sz w:val="24"/>
          <w:szCs w:val="24"/>
        </w:rPr>
        <w:lastRenderedPageBreak/>
        <w:t>IĮ Sigitos Galinytės IĮ – registruota suma 6 077,74 Eur.</w:t>
      </w:r>
    </w:p>
    <w:p w14:paraId="1F632880" w14:textId="77777777" w:rsidR="00437BD1" w:rsidRPr="000F1BA5" w:rsidRDefault="00437BD1" w:rsidP="00437BD1">
      <w:pPr>
        <w:tabs>
          <w:tab w:val="left" w:pos="709"/>
        </w:tabs>
        <w:spacing w:line="264" w:lineRule="auto"/>
        <w:ind w:firstLine="851"/>
        <w:jc w:val="both"/>
        <w:rPr>
          <w:b/>
          <w:bCs/>
        </w:rPr>
      </w:pPr>
      <w:r w:rsidRPr="000F1BA5">
        <w:t>Nebalansinėje sąskaitoje už išieškomas sumas, susijusias su neteisėtai suteiktomis ar neteisėtai pateiktomis apmokėti paslaugomis, 2025 metais buvo apskaityta 158 787,54 Eur. Palyginti su 2024 metais (80 867,49 Eur), suma padidėjo apie 49 proc., arba 77 920,05 Eur.</w:t>
      </w:r>
    </w:p>
    <w:p w14:paraId="3A157298" w14:textId="77777777" w:rsidR="00437BD1" w:rsidRPr="000F1BA5" w:rsidRDefault="00437BD1" w:rsidP="00437BD1">
      <w:pPr>
        <w:tabs>
          <w:tab w:val="left" w:pos="709"/>
        </w:tabs>
        <w:spacing w:line="264" w:lineRule="auto"/>
        <w:ind w:firstLine="851"/>
        <w:jc w:val="both"/>
      </w:pPr>
      <w:r w:rsidRPr="000F1BA5">
        <w:t>Neapibrėžtųjų trumpalaikių įsipareigojimų sąskaitoje už dantų protezavimą 2025 metais buvo apskaityta 379 116,76 Eur. Palyginti su 2024 metais (380 527,50 Eur), suma sumažėjo 0,37 proc., arba 1 410,74 Eur.</w:t>
      </w:r>
    </w:p>
    <w:p w14:paraId="63D9FE9E" w14:textId="77777777" w:rsidR="00437BD1" w:rsidRPr="000F1BA5" w:rsidRDefault="00437BD1" w:rsidP="00437BD1">
      <w:pPr>
        <w:tabs>
          <w:tab w:val="left" w:pos="709"/>
        </w:tabs>
        <w:spacing w:line="264" w:lineRule="auto"/>
        <w:ind w:firstLine="851"/>
        <w:jc w:val="both"/>
      </w:pPr>
      <w:r w:rsidRPr="000F1BA5">
        <w:t>Visos aukščiau nurodytos sumos yra registruotos nebalansinėje sąskaitoje, kol bus priimti galutiniai sprendimai dėl žalos atlyginimo ar įvykdyti mokėjimai.</w:t>
      </w:r>
    </w:p>
    <w:p w14:paraId="3D09E597" w14:textId="77777777" w:rsidR="00437BD1" w:rsidRPr="000F1BA5" w:rsidRDefault="00437BD1" w:rsidP="00437BD1">
      <w:pPr>
        <w:tabs>
          <w:tab w:val="left" w:pos="709"/>
        </w:tabs>
        <w:spacing w:line="264" w:lineRule="auto"/>
        <w:ind w:firstLine="851"/>
        <w:jc w:val="both"/>
        <w:rPr>
          <w:b/>
          <w:bCs/>
        </w:rPr>
      </w:pPr>
    </w:p>
    <w:p w14:paraId="3FB9A4CD" w14:textId="77777777" w:rsidR="00437BD1" w:rsidRPr="000F1BA5" w:rsidRDefault="00437BD1" w:rsidP="00437BD1">
      <w:pPr>
        <w:tabs>
          <w:tab w:val="left" w:pos="709"/>
        </w:tabs>
        <w:spacing w:line="264" w:lineRule="auto"/>
        <w:ind w:firstLine="851"/>
        <w:jc w:val="both"/>
      </w:pPr>
    </w:p>
    <w:p w14:paraId="4FF4293C" w14:textId="77777777" w:rsidR="00437BD1" w:rsidRPr="000F1BA5" w:rsidRDefault="00437BD1" w:rsidP="00437BD1">
      <w:pPr>
        <w:tabs>
          <w:tab w:val="left" w:pos="709"/>
        </w:tabs>
        <w:spacing w:line="264" w:lineRule="auto"/>
        <w:ind w:firstLine="851"/>
        <w:jc w:val="both"/>
      </w:pPr>
    </w:p>
    <w:p w14:paraId="64DEB7B0" w14:textId="77777777" w:rsidR="00437BD1" w:rsidRPr="000F1BA5" w:rsidRDefault="00437BD1" w:rsidP="00437BD1">
      <w:pPr>
        <w:spacing w:line="264" w:lineRule="auto"/>
        <w:ind w:firstLine="851"/>
        <w:jc w:val="both"/>
      </w:pPr>
    </w:p>
    <w:p w14:paraId="4F39D36C" w14:textId="77777777" w:rsidR="00437BD1" w:rsidRPr="000F1BA5" w:rsidRDefault="00437BD1" w:rsidP="00437BD1">
      <w:pPr>
        <w:spacing w:line="264" w:lineRule="auto"/>
        <w:ind w:firstLine="851"/>
        <w:jc w:val="both"/>
      </w:pPr>
    </w:p>
    <w:p w14:paraId="7870B311" w14:textId="77777777" w:rsidR="00437BD1" w:rsidRPr="000F1BA5" w:rsidRDefault="00437BD1" w:rsidP="00437BD1">
      <w:pPr>
        <w:spacing w:line="264" w:lineRule="auto"/>
        <w:ind w:firstLine="851"/>
        <w:jc w:val="both"/>
      </w:pPr>
    </w:p>
    <w:p w14:paraId="16929567" w14:textId="77777777" w:rsidR="00437BD1" w:rsidRPr="000F1BA5" w:rsidRDefault="00437BD1" w:rsidP="00437BD1">
      <w:pPr>
        <w:tabs>
          <w:tab w:val="right" w:pos="9639"/>
        </w:tabs>
        <w:spacing w:line="264" w:lineRule="auto"/>
        <w:jc w:val="both"/>
      </w:pPr>
      <w:r w:rsidRPr="000F1BA5">
        <w:t>Direktorius</w:t>
      </w:r>
      <w:r w:rsidRPr="000F1BA5">
        <w:tab/>
        <w:t>Gytis Bendorius</w:t>
      </w:r>
    </w:p>
    <w:p w14:paraId="107A5E92" w14:textId="77777777" w:rsidR="00437BD1" w:rsidRPr="000F1BA5" w:rsidRDefault="00437BD1" w:rsidP="00437BD1">
      <w:pPr>
        <w:spacing w:line="264" w:lineRule="auto"/>
        <w:jc w:val="both"/>
      </w:pPr>
    </w:p>
    <w:p w14:paraId="418ACBD3" w14:textId="77777777" w:rsidR="00437BD1" w:rsidRPr="000F1BA5" w:rsidRDefault="00437BD1" w:rsidP="00437BD1">
      <w:pPr>
        <w:spacing w:line="264" w:lineRule="auto"/>
        <w:jc w:val="both"/>
      </w:pPr>
      <w:r w:rsidRPr="000F1BA5">
        <w:t>Ekonomikos departamento</w:t>
      </w:r>
    </w:p>
    <w:p w14:paraId="04BA2DC1" w14:textId="77777777" w:rsidR="00437BD1" w:rsidRPr="000F1BA5" w:rsidRDefault="00437BD1" w:rsidP="00437BD1">
      <w:pPr>
        <w:tabs>
          <w:tab w:val="right" w:pos="9639"/>
        </w:tabs>
        <w:spacing w:line="264" w:lineRule="auto"/>
        <w:jc w:val="both"/>
      </w:pPr>
      <w:r w:rsidRPr="000F1BA5">
        <w:t>Finansų ir apskaitos skyriaus vedėjas</w:t>
      </w:r>
      <w:r w:rsidRPr="000F1BA5">
        <w:tab/>
        <w:t>Visvaldas Vilkas</w:t>
      </w:r>
    </w:p>
    <w:p w14:paraId="7579FF41" w14:textId="77777777" w:rsidR="00437BD1" w:rsidRPr="000F1BA5" w:rsidRDefault="00437BD1" w:rsidP="00437BD1">
      <w:pPr>
        <w:pStyle w:val="Turinys0"/>
        <w:tabs>
          <w:tab w:val="left" w:pos="438"/>
          <w:tab w:val="left" w:leader="dot" w:pos="5766"/>
          <w:tab w:val="left" w:leader="dot" w:pos="5823"/>
          <w:tab w:val="right" w:leader="dot" w:pos="9504"/>
        </w:tabs>
        <w:spacing w:before="0" w:line="264" w:lineRule="auto"/>
        <w:jc w:val="both"/>
        <w:rPr>
          <w:rFonts w:ascii="Times New Roman" w:hAnsi="Times New Roman"/>
          <w:sz w:val="24"/>
          <w:szCs w:val="24"/>
        </w:rPr>
      </w:pPr>
    </w:p>
    <w:p w14:paraId="7B0AA914" w14:textId="77777777" w:rsidR="00263D42" w:rsidRPr="00437BD1" w:rsidRDefault="00263D42" w:rsidP="00437BD1">
      <w:pPr>
        <w:spacing w:line="264" w:lineRule="auto"/>
        <w:jc w:val="both"/>
        <w:rPr>
          <w:b/>
        </w:rPr>
      </w:pPr>
    </w:p>
    <w:sectPr w:rsidR="00263D42" w:rsidRPr="00437BD1" w:rsidSect="00616ADB">
      <w:footerReference w:type="default" r:id="rId20"/>
      <w:footerReference w:type="first" r:id="rId21"/>
      <w:type w:val="continuous"/>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0C19" w14:textId="77777777" w:rsidR="000A2EBE" w:rsidRPr="000F1BA5" w:rsidRDefault="000A2EBE">
      <w:r w:rsidRPr="000F1BA5">
        <w:separator/>
      </w:r>
    </w:p>
  </w:endnote>
  <w:endnote w:type="continuationSeparator" w:id="0">
    <w:p w14:paraId="3062920F" w14:textId="77777777" w:rsidR="000A2EBE" w:rsidRPr="000F1BA5" w:rsidRDefault="000A2EBE">
      <w:r w:rsidRPr="000F1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B84A" w14:textId="77777777" w:rsidR="00616ADB" w:rsidRPr="000F1BA5" w:rsidRDefault="00616ADB" w:rsidP="00616ADB">
    <w:pPr>
      <w:pStyle w:val="Porat"/>
    </w:pPr>
  </w:p>
  <w:tbl>
    <w:tblPr>
      <w:tblW w:w="9781" w:type="dxa"/>
      <w:tblBorders>
        <w:top w:val="single" w:sz="4" w:space="0" w:color="000000"/>
      </w:tblBorders>
      <w:tblLayout w:type="fixed"/>
      <w:tblLook w:val="04A0" w:firstRow="1" w:lastRow="0" w:firstColumn="1" w:lastColumn="0" w:noHBand="0" w:noVBand="1"/>
    </w:tblPr>
    <w:tblGrid>
      <w:gridCol w:w="1985"/>
      <w:gridCol w:w="2268"/>
      <w:gridCol w:w="2551"/>
      <w:gridCol w:w="1276"/>
      <w:gridCol w:w="1134"/>
      <w:gridCol w:w="567"/>
    </w:tblGrid>
    <w:tr w:rsidR="00616ADB" w:rsidRPr="000F1BA5" w14:paraId="0E007E1C" w14:textId="77777777" w:rsidTr="00CE2C2A">
      <w:trPr>
        <w:trHeight w:val="1522"/>
      </w:trPr>
      <w:tc>
        <w:tcPr>
          <w:tcW w:w="1985" w:type="dxa"/>
        </w:tcPr>
        <w:p w14:paraId="40DDC187" w14:textId="77777777" w:rsidR="00616ADB" w:rsidRPr="000F1BA5" w:rsidRDefault="00616ADB" w:rsidP="00616ADB">
          <w:pPr>
            <w:pStyle w:val="Porat"/>
            <w:rPr>
              <w:sz w:val="20"/>
              <w:szCs w:val="20"/>
            </w:rPr>
          </w:pPr>
          <w:r w:rsidRPr="000F1BA5">
            <w:rPr>
              <w:sz w:val="20"/>
              <w:szCs w:val="20"/>
            </w:rPr>
            <w:t>Biudžetinė įstaiga</w:t>
          </w:r>
        </w:p>
        <w:p w14:paraId="16563F4C" w14:textId="77777777" w:rsidR="00616ADB" w:rsidRPr="000F1BA5" w:rsidRDefault="00616ADB" w:rsidP="00616ADB">
          <w:pPr>
            <w:pStyle w:val="Porat"/>
            <w:rPr>
              <w:sz w:val="20"/>
              <w:szCs w:val="20"/>
            </w:rPr>
          </w:pPr>
          <w:r w:rsidRPr="000F1BA5">
            <w:rPr>
              <w:sz w:val="20"/>
              <w:szCs w:val="20"/>
            </w:rPr>
            <w:t xml:space="preserve">Europos aikštė 1, </w:t>
          </w:r>
        </w:p>
        <w:p w14:paraId="05C705A1" w14:textId="77777777" w:rsidR="00616ADB" w:rsidRPr="000F1BA5" w:rsidRDefault="00616ADB" w:rsidP="00616ADB">
          <w:pPr>
            <w:rPr>
              <w:sz w:val="20"/>
              <w:szCs w:val="20"/>
            </w:rPr>
          </w:pPr>
          <w:r w:rsidRPr="000F1BA5">
            <w:rPr>
              <w:sz w:val="20"/>
              <w:szCs w:val="20"/>
            </w:rPr>
            <w:t>03505 Vilnius</w:t>
          </w:r>
        </w:p>
      </w:tc>
      <w:tc>
        <w:tcPr>
          <w:tcW w:w="2268" w:type="dxa"/>
        </w:tcPr>
        <w:p w14:paraId="3F2F9BC0" w14:textId="77777777" w:rsidR="00616ADB" w:rsidRPr="000F1BA5" w:rsidRDefault="00616ADB" w:rsidP="00616ADB">
          <w:pPr>
            <w:pStyle w:val="Porat"/>
            <w:rPr>
              <w:sz w:val="20"/>
              <w:szCs w:val="20"/>
            </w:rPr>
          </w:pPr>
          <w:r w:rsidRPr="000F1BA5">
            <w:rPr>
              <w:sz w:val="20"/>
              <w:szCs w:val="20"/>
            </w:rPr>
            <w:t>Tel. (8 5) 236 4198</w:t>
          </w:r>
        </w:p>
        <w:p w14:paraId="2076D950" w14:textId="77777777" w:rsidR="00616ADB" w:rsidRPr="000F1BA5" w:rsidRDefault="00616ADB" w:rsidP="00616ADB">
          <w:pPr>
            <w:rPr>
              <w:sz w:val="20"/>
              <w:szCs w:val="20"/>
            </w:rPr>
          </w:pPr>
          <w:r w:rsidRPr="000F1BA5">
            <w:rPr>
              <w:sz w:val="20"/>
              <w:szCs w:val="20"/>
            </w:rPr>
            <w:t>El. p. vlk@vlk.lt</w:t>
          </w:r>
        </w:p>
        <w:p w14:paraId="0A7B8D42" w14:textId="77777777" w:rsidR="00616ADB" w:rsidRPr="000F1BA5" w:rsidRDefault="00616ADB" w:rsidP="00616ADB">
          <w:pPr>
            <w:rPr>
              <w:sz w:val="20"/>
              <w:szCs w:val="20"/>
            </w:rPr>
          </w:pPr>
          <w:hyperlink r:id="rId1" w:history="1">
            <w:r w:rsidRPr="000F1BA5">
              <w:rPr>
                <w:rStyle w:val="Hipersaitas"/>
                <w:color w:val="auto"/>
                <w:sz w:val="20"/>
                <w:szCs w:val="20"/>
                <w:u w:val="none"/>
              </w:rPr>
              <w:t>www.ligoniukasa.lrv.lt</w:t>
            </w:r>
          </w:hyperlink>
        </w:p>
        <w:p w14:paraId="40E6E37C" w14:textId="77777777" w:rsidR="00616ADB" w:rsidRPr="000F1BA5" w:rsidRDefault="00616ADB" w:rsidP="00616ADB">
          <w:pPr>
            <w:rPr>
              <w:color w:val="0000FF" w:themeColor="hyperlink"/>
              <w:sz w:val="20"/>
              <w:szCs w:val="20"/>
              <w:u w:val="single"/>
            </w:rPr>
          </w:pPr>
        </w:p>
      </w:tc>
      <w:tc>
        <w:tcPr>
          <w:tcW w:w="2551" w:type="dxa"/>
        </w:tcPr>
        <w:p w14:paraId="74B1E2F6" w14:textId="77777777" w:rsidR="00616ADB" w:rsidRPr="000F1BA5" w:rsidRDefault="00616ADB" w:rsidP="00616ADB">
          <w:pPr>
            <w:pStyle w:val="Porat"/>
            <w:tabs>
              <w:tab w:val="clear" w:pos="4819"/>
              <w:tab w:val="center" w:pos="4995"/>
            </w:tabs>
            <w:rPr>
              <w:sz w:val="20"/>
              <w:szCs w:val="20"/>
            </w:rPr>
          </w:pPr>
          <w:r w:rsidRPr="000F1BA5">
            <w:rPr>
              <w:sz w:val="20"/>
              <w:szCs w:val="20"/>
            </w:rPr>
            <w:t>Duomenys kaupiami ir saugomi Juridinių asmenų registre, kodas 191351679</w:t>
          </w:r>
        </w:p>
        <w:p w14:paraId="675CEC2E" w14:textId="77777777" w:rsidR="00616ADB" w:rsidRPr="000F1BA5" w:rsidRDefault="00616ADB" w:rsidP="00616ADB">
          <w:pPr>
            <w:pStyle w:val="Porat"/>
            <w:tabs>
              <w:tab w:val="clear" w:pos="4819"/>
              <w:tab w:val="center" w:pos="4995"/>
            </w:tabs>
            <w:rPr>
              <w:sz w:val="20"/>
              <w:szCs w:val="20"/>
            </w:rPr>
          </w:pPr>
        </w:p>
        <w:p w14:paraId="72DD8171" w14:textId="77777777" w:rsidR="00616ADB" w:rsidRPr="000F1BA5" w:rsidRDefault="00616ADB" w:rsidP="00616ADB">
          <w:pPr>
            <w:rPr>
              <w:sz w:val="20"/>
              <w:szCs w:val="20"/>
            </w:rPr>
          </w:pPr>
        </w:p>
      </w:tc>
      <w:tc>
        <w:tcPr>
          <w:tcW w:w="1276" w:type="dxa"/>
        </w:tcPr>
        <w:p w14:paraId="36BBB8FF" w14:textId="77777777" w:rsidR="00616ADB" w:rsidRPr="000F1BA5" w:rsidRDefault="00616ADB" w:rsidP="00616ADB">
          <w:pPr>
            <w:ind w:left="2592" w:hanging="2592"/>
            <w:jc w:val="center"/>
            <w:rPr>
              <w:rFonts w:ascii="Tahoma" w:hAnsi="Tahoma" w:cs="Tahoma"/>
              <w:sz w:val="8"/>
              <w:szCs w:val="8"/>
            </w:rPr>
          </w:pPr>
          <w:r w:rsidRPr="000F1BA5">
            <w:rPr>
              <w:rFonts w:ascii="Tahoma" w:hAnsi="Tahoma" w:cs="Tahoma"/>
              <w:noProof/>
              <w:lang w:eastAsia="lt-LT"/>
            </w:rPr>
            <w:drawing>
              <wp:inline distT="0" distB="0" distL="0" distR="0" wp14:anchorId="43F2BA1C" wp14:editId="51DA9804">
                <wp:extent cx="532263" cy="445770"/>
                <wp:effectExtent l="0" t="0" r="1270" b="0"/>
                <wp:docPr id="1387326443" name="Paveikslėlis 35" descr="C:\Users\lijaseme\AppData\Local\Microsoft\Windows\Temporary Internet Files\Content.Outlook\1E09UIEB\VLK  Siegel_TIC 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jaseme\AppData\Local\Microsoft\Windows\Temporary Internet Files\Content.Outlook\1E09UIEB\VLK  Siegel_TIC 27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744" cy="447848"/>
                        </a:xfrm>
                        <a:prstGeom prst="rect">
                          <a:avLst/>
                        </a:prstGeom>
                        <a:noFill/>
                        <a:ln>
                          <a:noFill/>
                        </a:ln>
                      </pic:spPr>
                    </pic:pic>
                  </a:graphicData>
                </a:graphic>
              </wp:inline>
            </w:drawing>
          </w:r>
        </w:p>
        <w:p w14:paraId="5AB4ECAC" w14:textId="77777777" w:rsidR="00616ADB" w:rsidRPr="000F1BA5" w:rsidRDefault="00616ADB" w:rsidP="00616ADB">
          <w:pPr>
            <w:ind w:left="2592" w:hanging="2592"/>
            <w:jc w:val="center"/>
            <w:rPr>
              <w:rFonts w:ascii="Tahoma" w:hAnsi="Tahoma" w:cs="Tahoma"/>
            </w:rPr>
          </w:pPr>
        </w:p>
      </w:tc>
      <w:tc>
        <w:tcPr>
          <w:tcW w:w="1134" w:type="dxa"/>
        </w:tcPr>
        <w:p w14:paraId="69E85ABF" w14:textId="77777777" w:rsidR="00616ADB" w:rsidRPr="000F1BA5" w:rsidRDefault="00616ADB" w:rsidP="00616ADB">
          <w:pPr>
            <w:pStyle w:val="Antrats"/>
            <w:tabs>
              <w:tab w:val="clear" w:pos="4819"/>
              <w:tab w:val="clear" w:pos="9638"/>
            </w:tabs>
            <w:jc w:val="center"/>
            <w:rPr>
              <w:sz w:val="8"/>
              <w:szCs w:val="8"/>
              <w:lang w:eastAsia="lt-LT"/>
            </w:rPr>
          </w:pPr>
          <w:r w:rsidRPr="000F1BA5">
            <w:rPr>
              <w:rFonts w:ascii="Tahoma" w:hAnsi="Tahoma" w:cs="Tahoma"/>
              <w:noProof/>
              <w:lang w:eastAsia="lt-LT"/>
            </w:rPr>
            <w:drawing>
              <wp:inline distT="0" distB="0" distL="0" distR="0" wp14:anchorId="4A06B51C" wp14:editId="7E5EBCF9">
                <wp:extent cx="533840" cy="447550"/>
                <wp:effectExtent l="0" t="0" r="0" b="0"/>
                <wp:docPr id="1057877520" name="Paveikslėlis 36" descr="C:\Users\lijaseme\AppData\Local\Microsoft\Windows\Temporary Internet Files\Content.Outlook\1E09UIEB\VLK_Siegel_TIC 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jaseme\AppData\Local\Microsoft\Windows\Temporary Internet Files\Content.Outlook\1E09UIEB\VLK_Siegel_TIC 20000..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805" cy="450036"/>
                        </a:xfrm>
                        <a:prstGeom prst="rect">
                          <a:avLst/>
                        </a:prstGeom>
                        <a:noFill/>
                        <a:ln>
                          <a:noFill/>
                        </a:ln>
                      </pic:spPr>
                    </pic:pic>
                  </a:graphicData>
                </a:graphic>
              </wp:inline>
            </w:drawing>
          </w:r>
        </w:p>
        <w:p w14:paraId="11EE508B" w14:textId="77777777" w:rsidR="00616ADB" w:rsidRPr="000F1BA5" w:rsidRDefault="00616ADB" w:rsidP="00616ADB">
          <w:pPr>
            <w:pStyle w:val="Antrats"/>
            <w:tabs>
              <w:tab w:val="clear" w:pos="4819"/>
              <w:tab w:val="clear" w:pos="9638"/>
            </w:tabs>
            <w:rPr>
              <w:lang w:eastAsia="lt-LT"/>
            </w:rPr>
          </w:pPr>
          <w:r w:rsidRPr="000F1BA5">
            <w:rPr>
              <w:lang w:eastAsia="lt-LT"/>
            </w:rPr>
            <w:t xml:space="preserve">  </w:t>
          </w:r>
        </w:p>
        <w:p w14:paraId="7E94A156" w14:textId="77777777" w:rsidR="00616ADB" w:rsidRPr="000F1BA5" w:rsidRDefault="00616ADB" w:rsidP="00616ADB">
          <w:pPr>
            <w:rPr>
              <w:lang w:eastAsia="lt-LT"/>
            </w:rPr>
          </w:pPr>
        </w:p>
      </w:tc>
      <w:tc>
        <w:tcPr>
          <w:tcW w:w="567" w:type="dxa"/>
        </w:tcPr>
        <w:p w14:paraId="26FE4CF7" w14:textId="77777777" w:rsidR="00616ADB" w:rsidRPr="000F1BA5" w:rsidRDefault="00616ADB" w:rsidP="00616ADB">
          <w:pPr>
            <w:pStyle w:val="Antrats"/>
            <w:tabs>
              <w:tab w:val="clear" w:pos="4819"/>
              <w:tab w:val="clear" w:pos="9638"/>
            </w:tabs>
            <w:rPr>
              <w:sz w:val="10"/>
              <w:szCs w:val="10"/>
              <w:lang w:eastAsia="lt-LT"/>
            </w:rPr>
          </w:pPr>
        </w:p>
        <w:p w14:paraId="04DB68CA" w14:textId="77777777" w:rsidR="00616ADB" w:rsidRPr="000F1BA5" w:rsidRDefault="00616ADB" w:rsidP="00616ADB">
          <w:pPr>
            <w:pStyle w:val="Antrats"/>
            <w:tabs>
              <w:tab w:val="clear" w:pos="4819"/>
              <w:tab w:val="clear" w:pos="9638"/>
            </w:tabs>
            <w:jc w:val="center"/>
            <w:rPr>
              <w:sz w:val="8"/>
              <w:szCs w:val="8"/>
              <w:lang w:eastAsia="lt-LT"/>
            </w:rPr>
          </w:pPr>
        </w:p>
        <w:p w14:paraId="704FC4AD" w14:textId="77777777" w:rsidR="00616ADB" w:rsidRPr="000F1BA5" w:rsidRDefault="00616ADB" w:rsidP="00616ADB">
          <w:pPr>
            <w:pStyle w:val="Antrats"/>
            <w:tabs>
              <w:tab w:val="clear" w:pos="4819"/>
              <w:tab w:val="clear" w:pos="9638"/>
            </w:tabs>
            <w:jc w:val="center"/>
            <w:rPr>
              <w:sz w:val="8"/>
              <w:szCs w:val="8"/>
              <w:lang w:eastAsia="lt-LT"/>
            </w:rPr>
          </w:pPr>
        </w:p>
        <w:p w14:paraId="3F392300" w14:textId="77777777" w:rsidR="00616ADB" w:rsidRPr="000F1BA5" w:rsidRDefault="00616ADB" w:rsidP="00616ADB">
          <w:pPr>
            <w:pStyle w:val="Antrats"/>
            <w:tabs>
              <w:tab w:val="clear" w:pos="4819"/>
              <w:tab w:val="clear" w:pos="9638"/>
            </w:tabs>
            <w:ind w:left="428" w:hanging="428"/>
            <w:jc w:val="center"/>
            <w:rPr>
              <w:sz w:val="8"/>
              <w:szCs w:val="8"/>
              <w:lang w:eastAsia="lt-LT"/>
            </w:rPr>
          </w:pPr>
        </w:p>
      </w:tc>
    </w:tr>
  </w:tbl>
  <w:p w14:paraId="62768FCF" w14:textId="77777777" w:rsidR="002D7B34" w:rsidRPr="000F1BA5" w:rsidRDefault="002D7B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0" w14:textId="77777777" w:rsidR="002D7B34" w:rsidRPr="000F1BA5" w:rsidRDefault="002D7B34">
    <w:pPr>
      <w:pStyle w:val="Porat"/>
    </w:pPr>
  </w:p>
  <w:p w14:paraId="62768FDE" w14:textId="77777777" w:rsidR="002D7B34" w:rsidRPr="000F1BA5" w:rsidRDefault="002D7B34">
    <w:pPr>
      <w:pStyle w:val="Porat"/>
    </w:pPr>
    <w:r w:rsidRPr="000F1BA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CF8C" w14:textId="77777777" w:rsidR="007A2B81" w:rsidRPr="000F1BA5" w:rsidRDefault="007A2B81" w:rsidP="007A2B81">
    <w:pPr>
      <w:pStyle w:val="Porat"/>
    </w:pPr>
  </w:p>
  <w:p w14:paraId="4F12B0D7" w14:textId="77777777" w:rsidR="007A2B81" w:rsidRPr="000F1BA5" w:rsidRDefault="007A2B8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4" w:space="0" w:color="000000"/>
      </w:tblBorders>
      <w:tblLayout w:type="fixed"/>
      <w:tblLook w:val="04A0" w:firstRow="1" w:lastRow="0" w:firstColumn="1" w:lastColumn="0" w:noHBand="0" w:noVBand="1"/>
    </w:tblPr>
    <w:tblGrid>
      <w:gridCol w:w="1985"/>
      <w:gridCol w:w="2268"/>
      <w:gridCol w:w="2551"/>
      <w:gridCol w:w="1276"/>
      <w:gridCol w:w="1134"/>
      <w:gridCol w:w="567"/>
    </w:tblGrid>
    <w:tr w:rsidR="00F61842" w:rsidRPr="002779E6" w14:paraId="31D2B30F" w14:textId="77777777" w:rsidTr="005D1C0C">
      <w:trPr>
        <w:trHeight w:val="1522"/>
      </w:trPr>
      <w:tc>
        <w:tcPr>
          <w:tcW w:w="1985" w:type="dxa"/>
        </w:tcPr>
        <w:p w14:paraId="5207F7A0" w14:textId="77777777" w:rsidR="00F61842" w:rsidRPr="002779E6" w:rsidRDefault="00F61842" w:rsidP="00F61842">
          <w:pPr>
            <w:pStyle w:val="Porat"/>
            <w:rPr>
              <w:noProof/>
              <w:sz w:val="20"/>
              <w:szCs w:val="20"/>
            </w:rPr>
          </w:pPr>
          <w:r w:rsidRPr="002779E6">
            <w:rPr>
              <w:noProof/>
              <w:sz w:val="20"/>
              <w:szCs w:val="20"/>
            </w:rPr>
            <w:t>Biudžetinė įstaiga</w:t>
          </w:r>
        </w:p>
        <w:p w14:paraId="16B3A05A" w14:textId="77777777" w:rsidR="00F61842" w:rsidRPr="002779E6" w:rsidRDefault="00F61842" w:rsidP="00F61842">
          <w:pPr>
            <w:pStyle w:val="Porat"/>
            <w:rPr>
              <w:noProof/>
              <w:sz w:val="20"/>
              <w:szCs w:val="20"/>
            </w:rPr>
          </w:pPr>
          <w:r w:rsidRPr="002779E6">
            <w:rPr>
              <w:noProof/>
              <w:sz w:val="20"/>
              <w:szCs w:val="20"/>
            </w:rPr>
            <w:t xml:space="preserve">Europos aikštė 1, </w:t>
          </w:r>
        </w:p>
        <w:p w14:paraId="041B4D67" w14:textId="77777777" w:rsidR="00F61842" w:rsidRPr="002779E6" w:rsidRDefault="00F61842" w:rsidP="00F61842">
          <w:pPr>
            <w:rPr>
              <w:noProof/>
              <w:sz w:val="20"/>
              <w:szCs w:val="20"/>
            </w:rPr>
          </w:pPr>
          <w:r w:rsidRPr="002779E6">
            <w:rPr>
              <w:noProof/>
              <w:sz w:val="20"/>
              <w:szCs w:val="20"/>
            </w:rPr>
            <w:t>03505 Vilnius</w:t>
          </w:r>
        </w:p>
      </w:tc>
      <w:tc>
        <w:tcPr>
          <w:tcW w:w="2268" w:type="dxa"/>
        </w:tcPr>
        <w:p w14:paraId="26751E71" w14:textId="77777777" w:rsidR="00F61842" w:rsidRPr="002779E6" w:rsidRDefault="00F61842" w:rsidP="00F61842">
          <w:pPr>
            <w:pStyle w:val="Porat"/>
            <w:rPr>
              <w:noProof/>
              <w:sz w:val="20"/>
              <w:szCs w:val="20"/>
            </w:rPr>
          </w:pPr>
          <w:r w:rsidRPr="002779E6">
            <w:rPr>
              <w:noProof/>
              <w:sz w:val="20"/>
              <w:szCs w:val="20"/>
            </w:rPr>
            <w:t>Tel. (8 5) 236 4198</w:t>
          </w:r>
        </w:p>
        <w:p w14:paraId="761DAD77" w14:textId="77777777" w:rsidR="00F61842" w:rsidRPr="002779E6" w:rsidRDefault="00F61842" w:rsidP="00F61842">
          <w:pPr>
            <w:rPr>
              <w:noProof/>
              <w:sz w:val="20"/>
              <w:szCs w:val="20"/>
            </w:rPr>
          </w:pPr>
          <w:r w:rsidRPr="002779E6">
            <w:rPr>
              <w:noProof/>
              <w:sz w:val="20"/>
              <w:szCs w:val="20"/>
            </w:rPr>
            <w:t>El. p. vlk@vlk.lt</w:t>
          </w:r>
        </w:p>
        <w:p w14:paraId="6B9494F4" w14:textId="77777777" w:rsidR="00F61842" w:rsidRPr="00997BC9" w:rsidRDefault="00F61842" w:rsidP="00F61842">
          <w:pPr>
            <w:rPr>
              <w:sz w:val="20"/>
              <w:szCs w:val="20"/>
            </w:rPr>
          </w:pPr>
          <w:hyperlink r:id="rId1" w:history="1">
            <w:r w:rsidRPr="00997BC9">
              <w:rPr>
                <w:rStyle w:val="Hipersaitas"/>
                <w:color w:val="auto"/>
                <w:sz w:val="20"/>
                <w:szCs w:val="20"/>
                <w:u w:val="none"/>
              </w:rPr>
              <w:t>www.ligoniukasa.lrv.lt</w:t>
            </w:r>
          </w:hyperlink>
        </w:p>
        <w:p w14:paraId="3E23560B" w14:textId="77777777" w:rsidR="00F61842" w:rsidRPr="002779E6" w:rsidRDefault="00F61842" w:rsidP="00F61842">
          <w:pPr>
            <w:rPr>
              <w:noProof/>
              <w:color w:val="0000FF" w:themeColor="hyperlink"/>
              <w:sz w:val="20"/>
              <w:szCs w:val="20"/>
              <w:u w:val="single"/>
            </w:rPr>
          </w:pPr>
        </w:p>
      </w:tc>
      <w:tc>
        <w:tcPr>
          <w:tcW w:w="2551" w:type="dxa"/>
        </w:tcPr>
        <w:p w14:paraId="6CA8B225" w14:textId="77777777" w:rsidR="00F61842" w:rsidRPr="002779E6" w:rsidRDefault="00F61842" w:rsidP="00F61842">
          <w:pPr>
            <w:pStyle w:val="Porat"/>
            <w:tabs>
              <w:tab w:val="clear" w:pos="4819"/>
              <w:tab w:val="center" w:pos="4995"/>
            </w:tabs>
            <w:rPr>
              <w:noProof/>
              <w:sz w:val="20"/>
              <w:szCs w:val="20"/>
            </w:rPr>
          </w:pPr>
          <w:r w:rsidRPr="002779E6">
            <w:rPr>
              <w:noProof/>
              <w:sz w:val="20"/>
              <w:szCs w:val="20"/>
            </w:rPr>
            <w:t>Duomenys kaupiami ir saugomi Juridinių asmenų registre, kodas 191351679</w:t>
          </w:r>
        </w:p>
        <w:p w14:paraId="1EC72097" w14:textId="77777777" w:rsidR="00F61842" w:rsidRPr="002779E6" w:rsidRDefault="00F61842" w:rsidP="00F61842">
          <w:pPr>
            <w:pStyle w:val="Porat"/>
            <w:tabs>
              <w:tab w:val="clear" w:pos="4819"/>
              <w:tab w:val="center" w:pos="4995"/>
            </w:tabs>
            <w:rPr>
              <w:noProof/>
              <w:sz w:val="20"/>
              <w:szCs w:val="20"/>
            </w:rPr>
          </w:pPr>
        </w:p>
        <w:p w14:paraId="583A111A" w14:textId="77777777" w:rsidR="00F61842" w:rsidRPr="002779E6" w:rsidRDefault="00F61842" w:rsidP="00F61842">
          <w:pPr>
            <w:rPr>
              <w:noProof/>
              <w:sz w:val="20"/>
              <w:szCs w:val="20"/>
            </w:rPr>
          </w:pPr>
        </w:p>
      </w:tc>
      <w:tc>
        <w:tcPr>
          <w:tcW w:w="1276" w:type="dxa"/>
        </w:tcPr>
        <w:p w14:paraId="46AF00E4" w14:textId="77777777" w:rsidR="00F61842" w:rsidRPr="002779E6" w:rsidRDefault="00F61842" w:rsidP="00F61842">
          <w:pPr>
            <w:ind w:left="2592" w:hanging="2592"/>
            <w:jc w:val="center"/>
            <w:rPr>
              <w:rFonts w:ascii="Tahoma" w:hAnsi="Tahoma" w:cs="Tahoma"/>
              <w:sz w:val="8"/>
              <w:szCs w:val="8"/>
            </w:rPr>
          </w:pPr>
          <w:r w:rsidRPr="002779E6">
            <w:rPr>
              <w:rFonts w:ascii="Tahoma" w:hAnsi="Tahoma" w:cs="Tahoma"/>
              <w:noProof/>
              <w:lang w:eastAsia="lt-LT"/>
            </w:rPr>
            <w:drawing>
              <wp:inline distT="0" distB="0" distL="0" distR="0" wp14:anchorId="307F70A1" wp14:editId="24109294">
                <wp:extent cx="532263" cy="445770"/>
                <wp:effectExtent l="0" t="0" r="1270" b="0"/>
                <wp:docPr id="1495826134" name="Paveikslėlis 1495826134" descr="C:\Users\lijaseme\AppData\Local\Microsoft\Windows\Temporary Internet Files\Content.Outlook\1E09UIEB\VLK  Siegel_TIC 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jaseme\AppData\Local\Microsoft\Windows\Temporary Internet Files\Content.Outlook\1E09UIEB\VLK  Siegel_TIC 27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744" cy="447848"/>
                        </a:xfrm>
                        <a:prstGeom prst="rect">
                          <a:avLst/>
                        </a:prstGeom>
                        <a:noFill/>
                        <a:ln>
                          <a:noFill/>
                        </a:ln>
                      </pic:spPr>
                    </pic:pic>
                  </a:graphicData>
                </a:graphic>
              </wp:inline>
            </w:drawing>
          </w:r>
        </w:p>
        <w:p w14:paraId="42C1FAA0" w14:textId="77777777" w:rsidR="00F61842" w:rsidRPr="002779E6" w:rsidRDefault="00F61842" w:rsidP="00F61842">
          <w:pPr>
            <w:ind w:left="2592" w:hanging="2592"/>
            <w:jc w:val="center"/>
            <w:rPr>
              <w:rFonts w:ascii="Tahoma" w:hAnsi="Tahoma" w:cs="Tahoma"/>
            </w:rPr>
          </w:pPr>
        </w:p>
      </w:tc>
      <w:tc>
        <w:tcPr>
          <w:tcW w:w="1134" w:type="dxa"/>
        </w:tcPr>
        <w:p w14:paraId="26B8B720" w14:textId="77777777" w:rsidR="00F61842" w:rsidRPr="002779E6" w:rsidRDefault="00F61842" w:rsidP="00F61842">
          <w:pPr>
            <w:pStyle w:val="Antrats"/>
            <w:tabs>
              <w:tab w:val="clear" w:pos="4819"/>
              <w:tab w:val="clear" w:pos="9638"/>
            </w:tabs>
            <w:jc w:val="center"/>
            <w:rPr>
              <w:noProof/>
              <w:sz w:val="8"/>
              <w:szCs w:val="8"/>
              <w:lang w:eastAsia="lt-LT"/>
            </w:rPr>
          </w:pPr>
          <w:r w:rsidRPr="002779E6">
            <w:rPr>
              <w:rFonts w:ascii="Tahoma" w:hAnsi="Tahoma" w:cs="Tahoma"/>
              <w:noProof/>
              <w:lang w:eastAsia="lt-LT"/>
            </w:rPr>
            <w:drawing>
              <wp:inline distT="0" distB="0" distL="0" distR="0" wp14:anchorId="2AD3F32F" wp14:editId="20252D7D">
                <wp:extent cx="533840" cy="447550"/>
                <wp:effectExtent l="0" t="0" r="0" b="0"/>
                <wp:docPr id="1690878207" name="Paveikslėlis 1690878207" descr="C:\Users\lijaseme\AppData\Local\Microsoft\Windows\Temporary Internet Files\Content.Outlook\1E09UIEB\VLK_Siegel_TIC 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jaseme\AppData\Local\Microsoft\Windows\Temporary Internet Files\Content.Outlook\1E09UIEB\VLK_Siegel_TIC 20000..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805" cy="450036"/>
                        </a:xfrm>
                        <a:prstGeom prst="rect">
                          <a:avLst/>
                        </a:prstGeom>
                        <a:noFill/>
                        <a:ln>
                          <a:noFill/>
                        </a:ln>
                      </pic:spPr>
                    </pic:pic>
                  </a:graphicData>
                </a:graphic>
              </wp:inline>
            </w:drawing>
          </w:r>
        </w:p>
        <w:p w14:paraId="175608CA" w14:textId="77777777" w:rsidR="00F61842" w:rsidRDefault="00F61842" w:rsidP="00F61842">
          <w:pPr>
            <w:pStyle w:val="Antrats"/>
            <w:tabs>
              <w:tab w:val="clear" w:pos="4819"/>
              <w:tab w:val="clear" w:pos="9638"/>
            </w:tabs>
            <w:rPr>
              <w:noProof/>
              <w:lang w:eastAsia="lt-LT"/>
            </w:rPr>
          </w:pPr>
          <w:r w:rsidRPr="002779E6">
            <w:rPr>
              <w:noProof/>
              <w:lang w:eastAsia="lt-LT"/>
            </w:rPr>
            <w:t xml:space="preserve">  </w:t>
          </w:r>
        </w:p>
        <w:p w14:paraId="5A9BEFC5" w14:textId="77777777" w:rsidR="00F61842" w:rsidRPr="00FA1279" w:rsidRDefault="00F61842" w:rsidP="00F61842">
          <w:pPr>
            <w:rPr>
              <w:lang w:eastAsia="lt-LT"/>
            </w:rPr>
          </w:pPr>
        </w:p>
      </w:tc>
      <w:tc>
        <w:tcPr>
          <w:tcW w:w="567" w:type="dxa"/>
        </w:tcPr>
        <w:p w14:paraId="2B4A2FDC" w14:textId="77777777" w:rsidR="00F61842" w:rsidRPr="002779E6" w:rsidRDefault="00F61842" w:rsidP="00F61842">
          <w:pPr>
            <w:pStyle w:val="Antrats"/>
            <w:tabs>
              <w:tab w:val="clear" w:pos="4819"/>
              <w:tab w:val="clear" w:pos="9638"/>
            </w:tabs>
            <w:rPr>
              <w:noProof/>
              <w:sz w:val="10"/>
              <w:szCs w:val="10"/>
              <w:lang w:eastAsia="lt-LT"/>
            </w:rPr>
          </w:pPr>
        </w:p>
        <w:p w14:paraId="581AD5D9" w14:textId="77777777" w:rsidR="00F61842" w:rsidRPr="002779E6" w:rsidRDefault="00F61842" w:rsidP="00F61842">
          <w:pPr>
            <w:pStyle w:val="Antrats"/>
            <w:tabs>
              <w:tab w:val="clear" w:pos="4819"/>
              <w:tab w:val="clear" w:pos="9638"/>
            </w:tabs>
            <w:jc w:val="center"/>
            <w:rPr>
              <w:noProof/>
              <w:sz w:val="8"/>
              <w:szCs w:val="8"/>
              <w:lang w:eastAsia="lt-LT"/>
            </w:rPr>
          </w:pPr>
        </w:p>
        <w:p w14:paraId="188AD840" w14:textId="77777777" w:rsidR="00F61842" w:rsidRPr="002779E6" w:rsidRDefault="00F61842" w:rsidP="00F61842">
          <w:pPr>
            <w:pStyle w:val="Antrats"/>
            <w:tabs>
              <w:tab w:val="clear" w:pos="4819"/>
              <w:tab w:val="clear" w:pos="9638"/>
            </w:tabs>
            <w:jc w:val="center"/>
            <w:rPr>
              <w:noProof/>
              <w:sz w:val="8"/>
              <w:szCs w:val="8"/>
              <w:lang w:eastAsia="lt-LT"/>
            </w:rPr>
          </w:pPr>
        </w:p>
        <w:p w14:paraId="2196D0BD" w14:textId="77777777" w:rsidR="00F61842" w:rsidRPr="002779E6" w:rsidRDefault="00F61842" w:rsidP="00F61842">
          <w:pPr>
            <w:pStyle w:val="Antrats"/>
            <w:tabs>
              <w:tab w:val="clear" w:pos="4819"/>
              <w:tab w:val="clear" w:pos="9638"/>
            </w:tabs>
            <w:ind w:left="428" w:hanging="428"/>
            <w:jc w:val="center"/>
            <w:rPr>
              <w:noProof/>
              <w:sz w:val="8"/>
              <w:szCs w:val="8"/>
              <w:lang w:eastAsia="lt-LT"/>
            </w:rPr>
          </w:pPr>
        </w:p>
      </w:tc>
    </w:tr>
  </w:tbl>
  <w:p w14:paraId="664CEF26" w14:textId="77777777" w:rsidR="00F61842" w:rsidRPr="000F1BA5" w:rsidRDefault="00F6184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9690" w14:textId="77777777" w:rsidR="00F61842" w:rsidRPr="000F1BA5" w:rsidRDefault="00F6184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E441" w14:textId="77777777" w:rsidR="009D6235" w:rsidRPr="000F1BA5" w:rsidRDefault="009D623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D75A" w14:textId="77777777" w:rsidR="00616ADB" w:rsidRPr="000F1BA5" w:rsidRDefault="00616ADB" w:rsidP="007E76A3">
    <w:pPr>
      <w:pStyle w:val="Porat"/>
    </w:pPr>
  </w:p>
  <w:p w14:paraId="0FBC6733" w14:textId="77777777" w:rsidR="00616ADB" w:rsidRPr="000F1BA5" w:rsidRDefault="00616ADB">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3083" w14:textId="77777777" w:rsidR="00616ADB" w:rsidRPr="000F1BA5" w:rsidRDefault="00616ADB">
    <w:pPr>
      <w:pStyle w:val="Porat"/>
    </w:pPr>
  </w:p>
  <w:p w14:paraId="2612DD1D" w14:textId="77777777" w:rsidR="00616ADB" w:rsidRPr="000F1BA5" w:rsidRDefault="00616ADB">
    <w:pPr>
      <w:pStyle w:val="Porat"/>
    </w:pPr>
    <w:r w:rsidRPr="000F1BA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3046" w14:textId="77777777" w:rsidR="000A2EBE" w:rsidRPr="000F1BA5" w:rsidRDefault="000A2EBE">
      <w:r w:rsidRPr="000F1BA5">
        <w:separator/>
      </w:r>
    </w:p>
  </w:footnote>
  <w:footnote w:type="continuationSeparator" w:id="0">
    <w:p w14:paraId="32ED5E12" w14:textId="77777777" w:rsidR="000A2EBE" w:rsidRPr="000F1BA5" w:rsidRDefault="000A2EBE">
      <w:r w:rsidRPr="000F1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806592"/>
      <w:docPartObj>
        <w:docPartGallery w:val="Page Numbers (Top of Page)"/>
        <w:docPartUnique/>
      </w:docPartObj>
    </w:sdtPr>
    <w:sdtEndPr/>
    <w:sdtContent>
      <w:p w14:paraId="6CE596F9" w14:textId="2F75B0BD" w:rsidR="004A02B9" w:rsidRPr="000F1BA5" w:rsidRDefault="004A02B9">
        <w:pPr>
          <w:pStyle w:val="Antrats"/>
          <w:jc w:val="center"/>
        </w:pPr>
        <w:r w:rsidRPr="000F1BA5">
          <w:fldChar w:fldCharType="begin"/>
        </w:r>
        <w:r w:rsidRPr="000F1BA5">
          <w:instrText>PAGE   \* MERGEFORMAT</w:instrText>
        </w:r>
        <w:r w:rsidRPr="000F1BA5">
          <w:fldChar w:fldCharType="separate"/>
        </w:r>
        <w:r w:rsidRPr="000F1BA5">
          <w:t>2</w:t>
        </w:r>
        <w:r w:rsidRPr="000F1BA5">
          <w:fldChar w:fldCharType="end"/>
        </w:r>
      </w:p>
    </w:sdtContent>
  </w:sdt>
  <w:p w14:paraId="0F1A6A1C" w14:textId="77777777" w:rsidR="004A02B9" w:rsidRPr="000F1BA5" w:rsidRDefault="004A02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082A" w14:textId="6468DF4D" w:rsidR="00437BD1" w:rsidRPr="000F1BA5" w:rsidRDefault="00437BD1" w:rsidP="004A02B9">
    <w:pPr>
      <w:pStyle w:val="Antrats"/>
      <w:jc w:val="center"/>
    </w:pPr>
  </w:p>
  <w:p w14:paraId="22D9D0B7" w14:textId="7F10E241" w:rsidR="00BB33CE" w:rsidRPr="000F1BA5" w:rsidRDefault="00BB33CE" w:rsidP="00BB33CE">
    <w:pPr>
      <w:pStyle w:val="Antrats"/>
      <w:tabs>
        <w:tab w:val="clear" w:pos="9638"/>
        <w:tab w:val="right" w:pos="8222"/>
      </w:tabs>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4A0"/>
    <w:multiLevelType w:val="hybridMultilevel"/>
    <w:tmpl w:val="BD40E01A"/>
    <w:lvl w:ilvl="0" w:tplc="42784DDC">
      <w:numFmt w:val="bullet"/>
      <w:lvlText w:val="-"/>
      <w:lvlJc w:val="left"/>
      <w:pPr>
        <w:ind w:left="2291" w:hanging="360"/>
      </w:pPr>
      <w:rPr>
        <w:rFonts w:ascii="Times New Roman" w:eastAsia="TimesNewRomanPSMT" w:hAnsi="Times New Roman" w:cs="Times New Roman"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1" w15:restartNumberingAfterBreak="0">
    <w:nsid w:val="14510E48"/>
    <w:multiLevelType w:val="hybridMultilevel"/>
    <w:tmpl w:val="04D6E6E8"/>
    <w:lvl w:ilvl="0" w:tplc="D8BE961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340C66ED"/>
    <w:multiLevelType w:val="hybridMultilevel"/>
    <w:tmpl w:val="2E861290"/>
    <w:lvl w:ilvl="0" w:tplc="9FC26CD2">
      <w:start w:val="1"/>
      <w:numFmt w:val="bullet"/>
      <w:lvlText w:val=""/>
      <w:lvlJc w:val="left"/>
      <w:pPr>
        <w:ind w:left="1571" w:hanging="360"/>
      </w:pPr>
      <w:rPr>
        <w:rFonts w:ascii="Symbol" w:hAnsi="Symbol" w:hint="default"/>
        <w:spacing w:val="-2"/>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36DA05F5"/>
    <w:multiLevelType w:val="multilevel"/>
    <w:tmpl w:val="E3FE3EB8"/>
    <w:lvl w:ilvl="0">
      <w:numFmt w:val="bullet"/>
      <w:lvlText w:val="-"/>
      <w:lvlJc w:val="left"/>
      <w:pPr>
        <w:tabs>
          <w:tab w:val="num" w:pos="720"/>
        </w:tabs>
        <w:ind w:left="720" w:hanging="360"/>
      </w:pPr>
      <w:rPr>
        <w:rFonts w:ascii="Times New Roman" w:eastAsia="TimesNewRomanPSMT"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E16EAC"/>
    <w:multiLevelType w:val="multilevel"/>
    <w:tmpl w:val="0409001F"/>
    <w:styleLink w:val="111111"/>
    <w:lvl w:ilvl="0">
      <w:start w:val="1"/>
      <w:numFmt w:val="decimal"/>
      <w:pStyle w:val="Paragrafa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Paragrafas111"/>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961EC4"/>
    <w:multiLevelType w:val="multilevel"/>
    <w:tmpl w:val="BB0409E0"/>
    <w:lvl w:ilvl="0">
      <w:numFmt w:val="bullet"/>
      <w:lvlText w:val="-"/>
      <w:lvlJc w:val="left"/>
      <w:pPr>
        <w:tabs>
          <w:tab w:val="num" w:pos="720"/>
        </w:tabs>
        <w:ind w:left="720" w:hanging="360"/>
      </w:pPr>
      <w:rPr>
        <w:rFonts w:ascii="Times New Roman" w:eastAsia="TimesNewRomanPSMT"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36D50"/>
    <w:multiLevelType w:val="hybridMultilevel"/>
    <w:tmpl w:val="14FECA52"/>
    <w:lvl w:ilvl="0" w:tplc="100E5D9E">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4277D22"/>
    <w:multiLevelType w:val="multilevel"/>
    <w:tmpl w:val="49F0E606"/>
    <w:lvl w:ilvl="0">
      <w:start w:val="1"/>
      <w:numFmt w:val="bullet"/>
      <w:lvlText w:val=""/>
      <w:lvlJc w:val="left"/>
      <w:pPr>
        <w:tabs>
          <w:tab w:val="num" w:pos="720"/>
        </w:tabs>
        <w:ind w:left="720" w:hanging="360"/>
      </w:pPr>
      <w:rPr>
        <w:rFonts w:ascii="Symbol" w:hAnsi="Symbol" w:hint="default"/>
        <w:spacing w:val="0"/>
        <w:kern w:val="0"/>
        <w:position w:val="0"/>
        <w:sz w:val="20"/>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FD28B7"/>
    <w:multiLevelType w:val="hybridMultilevel"/>
    <w:tmpl w:val="B81E013A"/>
    <w:lvl w:ilvl="0" w:tplc="C7BC20B0">
      <w:start w:val="1"/>
      <w:numFmt w:val="bullet"/>
      <w:lvlText w:val=""/>
      <w:lvlJc w:val="left"/>
      <w:pPr>
        <w:ind w:left="1571" w:hanging="360"/>
      </w:pPr>
      <w:rPr>
        <w:rFonts w:ascii="Symbol" w:hAnsi="Symbol" w:hint="default"/>
        <w:spacing w:val="0"/>
        <w:position w:val="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538277630">
    <w:abstractNumId w:val="4"/>
  </w:num>
  <w:num w:numId="2" w16cid:durableId="2082941396">
    <w:abstractNumId w:val="5"/>
  </w:num>
  <w:num w:numId="3" w16cid:durableId="1010595997">
    <w:abstractNumId w:val="3"/>
  </w:num>
  <w:num w:numId="4" w16cid:durableId="1344090220">
    <w:abstractNumId w:val="0"/>
  </w:num>
  <w:num w:numId="5" w16cid:durableId="1740903138">
    <w:abstractNumId w:val="2"/>
  </w:num>
  <w:num w:numId="6" w16cid:durableId="932708910">
    <w:abstractNumId w:val="8"/>
  </w:num>
  <w:num w:numId="7" w16cid:durableId="1632319942">
    <w:abstractNumId w:val="7"/>
  </w:num>
  <w:num w:numId="8" w16cid:durableId="630214791">
    <w:abstractNumId w:val="6"/>
  </w:num>
  <w:num w:numId="9" w16cid:durableId="177466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23BC6"/>
    <w:rsid w:val="00035C79"/>
    <w:rsid w:val="00036793"/>
    <w:rsid w:val="00042C55"/>
    <w:rsid w:val="0006077F"/>
    <w:rsid w:val="00071FB9"/>
    <w:rsid w:val="0007428B"/>
    <w:rsid w:val="00074C70"/>
    <w:rsid w:val="000843B8"/>
    <w:rsid w:val="000A11C2"/>
    <w:rsid w:val="000A2EBE"/>
    <w:rsid w:val="000B44A6"/>
    <w:rsid w:val="000C03D5"/>
    <w:rsid w:val="000C58F7"/>
    <w:rsid w:val="000D5D5E"/>
    <w:rsid w:val="000D6978"/>
    <w:rsid w:val="000F1BA5"/>
    <w:rsid w:val="00102BE4"/>
    <w:rsid w:val="00121B84"/>
    <w:rsid w:val="00126B55"/>
    <w:rsid w:val="001270E3"/>
    <w:rsid w:val="00145061"/>
    <w:rsid w:val="001476EB"/>
    <w:rsid w:val="001510E1"/>
    <w:rsid w:val="0015122C"/>
    <w:rsid w:val="0015312A"/>
    <w:rsid w:val="001540FC"/>
    <w:rsid w:val="0015550E"/>
    <w:rsid w:val="001615A2"/>
    <w:rsid w:val="00163350"/>
    <w:rsid w:val="001B1F49"/>
    <w:rsid w:val="001B5F14"/>
    <w:rsid w:val="001C4C75"/>
    <w:rsid w:val="001D3DED"/>
    <w:rsid w:val="001E009F"/>
    <w:rsid w:val="001E3840"/>
    <w:rsid w:val="001E729F"/>
    <w:rsid w:val="001F0DCD"/>
    <w:rsid w:val="00203E4A"/>
    <w:rsid w:val="00211B0E"/>
    <w:rsid w:val="00215312"/>
    <w:rsid w:val="00222527"/>
    <w:rsid w:val="00235119"/>
    <w:rsid w:val="00236644"/>
    <w:rsid w:val="00263D42"/>
    <w:rsid w:val="002657F6"/>
    <w:rsid w:val="00266A0C"/>
    <w:rsid w:val="00280C77"/>
    <w:rsid w:val="00287F9F"/>
    <w:rsid w:val="002945F5"/>
    <w:rsid w:val="00295794"/>
    <w:rsid w:val="002A05D6"/>
    <w:rsid w:val="002B3853"/>
    <w:rsid w:val="002B4618"/>
    <w:rsid w:val="002C3A62"/>
    <w:rsid w:val="002D7B34"/>
    <w:rsid w:val="00301504"/>
    <w:rsid w:val="00302809"/>
    <w:rsid w:val="003354AF"/>
    <w:rsid w:val="003520F5"/>
    <w:rsid w:val="00352AD7"/>
    <w:rsid w:val="003557A0"/>
    <w:rsid w:val="003668DC"/>
    <w:rsid w:val="003736D8"/>
    <w:rsid w:val="00390F26"/>
    <w:rsid w:val="00393311"/>
    <w:rsid w:val="003A0686"/>
    <w:rsid w:val="003B5527"/>
    <w:rsid w:val="003C56FE"/>
    <w:rsid w:val="003D0743"/>
    <w:rsid w:val="003E30B1"/>
    <w:rsid w:val="003F44E5"/>
    <w:rsid w:val="00411BEF"/>
    <w:rsid w:val="0043514D"/>
    <w:rsid w:val="00437BD1"/>
    <w:rsid w:val="00442134"/>
    <w:rsid w:val="00453039"/>
    <w:rsid w:val="004A02B9"/>
    <w:rsid w:val="004C1769"/>
    <w:rsid w:val="004D5CCE"/>
    <w:rsid w:val="004E5279"/>
    <w:rsid w:val="0052337C"/>
    <w:rsid w:val="00546112"/>
    <w:rsid w:val="0055023F"/>
    <w:rsid w:val="00576BFF"/>
    <w:rsid w:val="00586964"/>
    <w:rsid w:val="005A3425"/>
    <w:rsid w:val="005C0C66"/>
    <w:rsid w:val="005C50A4"/>
    <w:rsid w:val="005E2417"/>
    <w:rsid w:val="005F7D77"/>
    <w:rsid w:val="0061148D"/>
    <w:rsid w:val="00616417"/>
    <w:rsid w:val="00616ADB"/>
    <w:rsid w:val="00635A09"/>
    <w:rsid w:val="00665943"/>
    <w:rsid w:val="0066617B"/>
    <w:rsid w:val="00676420"/>
    <w:rsid w:val="006944D7"/>
    <w:rsid w:val="006961A2"/>
    <w:rsid w:val="006E18BD"/>
    <w:rsid w:val="006E2D37"/>
    <w:rsid w:val="006F2C86"/>
    <w:rsid w:val="006F5EB1"/>
    <w:rsid w:val="006F5F22"/>
    <w:rsid w:val="00712213"/>
    <w:rsid w:val="0072190C"/>
    <w:rsid w:val="00731A22"/>
    <w:rsid w:val="00732150"/>
    <w:rsid w:val="0073546C"/>
    <w:rsid w:val="00744311"/>
    <w:rsid w:val="007630AF"/>
    <w:rsid w:val="0078505C"/>
    <w:rsid w:val="00792600"/>
    <w:rsid w:val="007A2B81"/>
    <w:rsid w:val="007A755C"/>
    <w:rsid w:val="007C33DD"/>
    <w:rsid w:val="007D6B9B"/>
    <w:rsid w:val="007E76A3"/>
    <w:rsid w:val="00811555"/>
    <w:rsid w:val="00823C01"/>
    <w:rsid w:val="008307A7"/>
    <w:rsid w:val="0083606E"/>
    <w:rsid w:val="0085002C"/>
    <w:rsid w:val="008564ED"/>
    <w:rsid w:val="0086043B"/>
    <w:rsid w:val="00874812"/>
    <w:rsid w:val="008B0EDC"/>
    <w:rsid w:val="008C214E"/>
    <w:rsid w:val="008C30A4"/>
    <w:rsid w:val="008F19BD"/>
    <w:rsid w:val="008F454F"/>
    <w:rsid w:val="00905363"/>
    <w:rsid w:val="00912BFF"/>
    <w:rsid w:val="0091561D"/>
    <w:rsid w:val="00935FA9"/>
    <w:rsid w:val="0095506D"/>
    <w:rsid w:val="00963E4C"/>
    <w:rsid w:val="00976189"/>
    <w:rsid w:val="00987B7C"/>
    <w:rsid w:val="009A21A4"/>
    <w:rsid w:val="009B151B"/>
    <w:rsid w:val="009C05AA"/>
    <w:rsid w:val="009C1A65"/>
    <w:rsid w:val="009D6235"/>
    <w:rsid w:val="009D754E"/>
    <w:rsid w:val="009F79DC"/>
    <w:rsid w:val="00A0112D"/>
    <w:rsid w:val="00A0266C"/>
    <w:rsid w:val="00A2467E"/>
    <w:rsid w:val="00A6772D"/>
    <w:rsid w:val="00A72B2F"/>
    <w:rsid w:val="00A74489"/>
    <w:rsid w:val="00AC044F"/>
    <w:rsid w:val="00AD0E9A"/>
    <w:rsid w:val="00AD45C5"/>
    <w:rsid w:val="00AE0727"/>
    <w:rsid w:val="00AE09A0"/>
    <w:rsid w:val="00AE72B8"/>
    <w:rsid w:val="00AF790A"/>
    <w:rsid w:val="00B026F0"/>
    <w:rsid w:val="00B30CC6"/>
    <w:rsid w:val="00B53A92"/>
    <w:rsid w:val="00B649F2"/>
    <w:rsid w:val="00B7230D"/>
    <w:rsid w:val="00B7506E"/>
    <w:rsid w:val="00B93565"/>
    <w:rsid w:val="00BA38AB"/>
    <w:rsid w:val="00BA5BAB"/>
    <w:rsid w:val="00BA6AE1"/>
    <w:rsid w:val="00BA6D37"/>
    <w:rsid w:val="00BA7614"/>
    <w:rsid w:val="00BA7A29"/>
    <w:rsid w:val="00BB33CE"/>
    <w:rsid w:val="00BB4E61"/>
    <w:rsid w:val="00C00412"/>
    <w:rsid w:val="00C137E3"/>
    <w:rsid w:val="00C21EE5"/>
    <w:rsid w:val="00C23432"/>
    <w:rsid w:val="00C7514A"/>
    <w:rsid w:val="00C85232"/>
    <w:rsid w:val="00C87039"/>
    <w:rsid w:val="00C941EE"/>
    <w:rsid w:val="00CA20BB"/>
    <w:rsid w:val="00CA2708"/>
    <w:rsid w:val="00CB2455"/>
    <w:rsid w:val="00CB25AB"/>
    <w:rsid w:val="00CC0EBB"/>
    <w:rsid w:val="00CD3BD9"/>
    <w:rsid w:val="00D11BDB"/>
    <w:rsid w:val="00D1238E"/>
    <w:rsid w:val="00D14D2C"/>
    <w:rsid w:val="00D40BD4"/>
    <w:rsid w:val="00D5329B"/>
    <w:rsid w:val="00D560E1"/>
    <w:rsid w:val="00D67D06"/>
    <w:rsid w:val="00D8173B"/>
    <w:rsid w:val="00D830DE"/>
    <w:rsid w:val="00DA05C4"/>
    <w:rsid w:val="00DC14BD"/>
    <w:rsid w:val="00DC55B6"/>
    <w:rsid w:val="00DE2394"/>
    <w:rsid w:val="00DF7810"/>
    <w:rsid w:val="00E036B0"/>
    <w:rsid w:val="00E10B88"/>
    <w:rsid w:val="00E17E79"/>
    <w:rsid w:val="00E32524"/>
    <w:rsid w:val="00E6055E"/>
    <w:rsid w:val="00E71747"/>
    <w:rsid w:val="00E82DD9"/>
    <w:rsid w:val="00E87E08"/>
    <w:rsid w:val="00EB04ED"/>
    <w:rsid w:val="00EB1EB8"/>
    <w:rsid w:val="00EB27BF"/>
    <w:rsid w:val="00EB6F9F"/>
    <w:rsid w:val="00ED086F"/>
    <w:rsid w:val="00EE3887"/>
    <w:rsid w:val="00EF0A11"/>
    <w:rsid w:val="00EF5EA7"/>
    <w:rsid w:val="00F06110"/>
    <w:rsid w:val="00F6000E"/>
    <w:rsid w:val="00F61842"/>
    <w:rsid w:val="00F640AB"/>
    <w:rsid w:val="00F647E3"/>
    <w:rsid w:val="00FA1279"/>
    <w:rsid w:val="00FB2A85"/>
    <w:rsid w:val="00FC5BFC"/>
    <w:rsid w:val="00FE3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A85"/>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437BD1"/>
    <w:pPr>
      <w:keepNext/>
      <w:spacing w:line="360" w:lineRule="auto"/>
      <w:jc w:val="center"/>
      <w:outlineLvl w:val="1"/>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eastAsia="lt-LT"/>
    </w:rPr>
  </w:style>
  <w:style w:type="character" w:customStyle="1" w:styleId="Antrat2Diagrama">
    <w:name w:val="Antraštė 2 Diagrama"/>
    <w:basedOn w:val="Numatytasispastraiposriftas"/>
    <w:link w:val="Antrat2"/>
    <w:rsid w:val="00437BD1"/>
    <w:rPr>
      <w:rFonts w:ascii="Times New Roman" w:eastAsia="Times New Roman" w:hAnsi="Times New Roman"/>
      <w:b/>
      <w:bCs/>
      <w:sz w:val="28"/>
      <w:szCs w:val="24"/>
      <w:lang w:eastAsia="en-US"/>
    </w:rPr>
  </w:style>
  <w:style w:type="paragraph" w:styleId="Sraopastraipa">
    <w:name w:val="List Paragraph"/>
    <w:basedOn w:val="prastasis"/>
    <w:uiPriority w:val="34"/>
    <w:qFormat/>
    <w:rsid w:val="00437BD1"/>
    <w:pPr>
      <w:spacing w:after="200" w:line="276" w:lineRule="auto"/>
      <w:ind w:left="720"/>
      <w:contextualSpacing/>
    </w:pPr>
    <w:rPr>
      <w:rFonts w:ascii="Calibri" w:eastAsia="Calibri" w:hAnsi="Calibri"/>
      <w:sz w:val="22"/>
      <w:szCs w:val="22"/>
    </w:rPr>
  </w:style>
  <w:style w:type="character" w:customStyle="1" w:styleId="Turinys">
    <w:name w:val="Turinys_"/>
    <w:link w:val="Turinys0"/>
    <w:rsid w:val="00437BD1"/>
    <w:rPr>
      <w:sz w:val="23"/>
      <w:szCs w:val="23"/>
      <w:shd w:val="clear" w:color="auto" w:fill="FFFFFF"/>
    </w:rPr>
  </w:style>
  <w:style w:type="paragraph" w:customStyle="1" w:styleId="Turinys0">
    <w:name w:val="Turinys"/>
    <w:basedOn w:val="prastasis"/>
    <w:link w:val="Turinys"/>
    <w:rsid w:val="00437BD1"/>
    <w:pPr>
      <w:shd w:val="clear" w:color="auto" w:fill="FFFFFF"/>
      <w:spacing w:before="300" w:line="394" w:lineRule="exact"/>
    </w:pPr>
    <w:rPr>
      <w:rFonts w:ascii="Calibri" w:eastAsia="Calibri" w:hAnsi="Calibri"/>
      <w:sz w:val="23"/>
      <w:szCs w:val="23"/>
      <w:lang w:eastAsia="lt-LT"/>
    </w:rPr>
  </w:style>
  <w:style w:type="paragraph" w:styleId="Pagrindiniotekstotrauka">
    <w:name w:val="Body Text Indent"/>
    <w:basedOn w:val="prastasis"/>
    <w:link w:val="PagrindiniotekstotraukaDiagrama"/>
    <w:semiHidden/>
    <w:rsid w:val="00437BD1"/>
    <w:pPr>
      <w:autoSpaceDE w:val="0"/>
      <w:autoSpaceDN w:val="0"/>
      <w:adjustRightInd w:val="0"/>
      <w:ind w:firstLine="720"/>
      <w:jc w:val="both"/>
    </w:pPr>
  </w:style>
  <w:style w:type="character" w:customStyle="1" w:styleId="PagrindiniotekstotraukaDiagrama">
    <w:name w:val="Pagrindinio teksto įtrauka Diagrama"/>
    <w:basedOn w:val="Numatytasispastraiposriftas"/>
    <w:link w:val="Pagrindiniotekstotrauka"/>
    <w:semiHidden/>
    <w:rsid w:val="00437BD1"/>
    <w:rPr>
      <w:rFonts w:ascii="Times New Roman" w:eastAsia="Times New Roman" w:hAnsi="Times New Roman"/>
      <w:sz w:val="24"/>
      <w:szCs w:val="24"/>
      <w:lang w:eastAsia="en-US"/>
    </w:rPr>
  </w:style>
  <w:style w:type="character" w:customStyle="1" w:styleId="Pagrindinistekstas">
    <w:name w:val="Pagrindinis tekstas_"/>
    <w:link w:val="Pagrindinistekstas1"/>
    <w:rsid w:val="00437BD1"/>
    <w:rPr>
      <w:sz w:val="23"/>
      <w:szCs w:val="23"/>
      <w:shd w:val="clear" w:color="auto" w:fill="FFFFFF"/>
    </w:rPr>
  </w:style>
  <w:style w:type="paragraph" w:customStyle="1" w:styleId="Pagrindinistekstas1">
    <w:name w:val="Pagrindinis tekstas1"/>
    <w:basedOn w:val="prastasis"/>
    <w:link w:val="Pagrindinistekstas"/>
    <w:rsid w:val="00437BD1"/>
    <w:pPr>
      <w:shd w:val="clear" w:color="auto" w:fill="FFFFFF"/>
      <w:spacing w:before="8340" w:line="0" w:lineRule="atLeast"/>
      <w:ind w:hanging="360"/>
      <w:jc w:val="center"/>
    </w:pPr>
    <w:rPr>
      <w:rFonts w:ascii="Calibri" w:eastAsia="Calibri" w:hAnsi="Calibri"/>
      <w:sz w:val="23"/>
      <w:szCs w:val="23"/>
      <w:lang w:eastAsia="lt-LT"/>
    </w:rPr>
  </w:style>
  <w:style w:type="character" w:customStyle="1" w:styleId="Temosantrat3">
    <w:name w:val="Temos antraštė #3_"/>
    <w:link w:val="Temosantrat30"/>
    <w:rsid w:val="00437BD1"/>
    <w:rPr>
      <w:sz w:val="23"/>
      <w:szCs w:val="23"/>
      <w:shd w:val="clear" w:color="auto" w:fill="FFFFFF"/>
    </w:rPr>
  </w:style>
  <w:style w:type="paragraph" w:customStyle="1" w:styleId="Temosantrat30">
    <w:name w:val="Temos antraštė #3"/>
    <w:basedOn w:val="prastasis"/>
    <w:link w:val="Temosantrat3"/>
    <w:rsid w:val="00437BD1"/>
    <w:pPr>
      <w:shd w:val="clear" w:color="auto" w:fill="FFFFFF"/>
      <w:spacing w:before="240" w:line="730" w:lineRule="exact"/>
      <w:ind w:hanging="360"/>
      <w:jc w:val="right"/>
      <w:outlineLvl w:val="2"/>
    </w:pPr>
    <w:rPr>
      <w:rFonts w:ascii="Calibri" w:eastAsia="Calibri" w:hAnsi="Calibri"/>
      <w:sz w:val="23"/>
      <w:szCs w:val="23"/>
      <w:lang w:eastAsia="lt-LT"/>
    </w:rPr>
  </w:style>
  <w:style w:type="paragraph" w:customStyle="1" w:styleId="Default">
    <w:name w:val="Default"/>
    <w:rsid w:val="00437BD1"/>
    <w:pPr>
      <w:autoSpaceDE w:val="0"/>
      <w:autoSpaceDN w:val="0"/>
      <w:adjustRightInd w:val="0"/>
    </w:pPr>
    <w:rPr>
      <w:rFonts w:ascii="Times New Roman" w:eastAsia="Times New Roman" w:hAnsi="Times New Roman"/>
      <w:color w:val="000000"/>
      <w:sz w:val="24"/>
      <w:szCs w:val="24"/>
    </w:rPr>
  </w:style>
  <w:style w:type="paragraph" w:customStyle="1" w:styleId="Paragrafas1">
    <w:name w:val="Paragrafas 1"/>
    <w:basedOn w:val="prastasis"/>
    <w:link w:val="Paragrafas1Char"/>
    <w:qFormat/>
    <w:rsid w:val="00437BD1"/>
    <w:pPr>
      <w:numPr>
        <w:numId w:val="1"/>
      </w:numPr>
      <w:tabs>
        <w:tab w:val="clear" w:pos="360"/>
        <w:tab w:val="left" w:pos="1276"/>
      </w:tabs>
      <w:autoSpaceDE w:val="0"/>
      <w:autoSpaceDN w:val="0"/>
      <w:adjustRightInd w:val="0"/>
      <w:spacing w:before="9"/>
      <w:ind w:left="0" w:firstLine="0"/>
      <w:contextualSpacing/>
      <w:jc w:val="both"/>
    </w:pPr>
    <w:rPr>
      <w:rFonts w:ascii="Courier New" w:eastAsia="Tahoma" w:hAnsi="Courier New"/>
      <w:color w:val="000000"/>
      <w:lang w:val="x-none" w:eastAsia="x-none"/>
    </w:rPr>
  </w:style>
  <w:style w:type="character" w:customStyle="1" w:styleId="Paragrafas1Char">
    <w:name w:val="Paragrafas 1 Char"/>
    <w:link w:val="Paragrafas1"/>
    <w:rsid w:val="00437BD1"/>
    <w:rPr>
      <w:rFonts w:ascii="Courier New" w:eastAsia="Tahoma" w:hAnsi="Courier New"/>
      <w:color w:val="000000"/>
      <w:sz w:val="24"/>
      <w:szCs w:val="24"/>
      <w:lang w:val="x-none" w:eastAsia="x-none"/>
    </w:rPr>
  </w:style>
  <w:style w:type="paragraph" w:customStyle="1" w:styleId="Paragrafas111">
    <w:name w:val="Paragrafas 1.1.1"/>
    <w:basedOn w:val="prastasis"/>
    <w:qFormat/>
    <w:rsid w:val="00437BD1"/>
    <w:pPr>
      <w:numPr>
        <w:ilvl w:val="2"/>
        <w:numId w:val="1"/>
      </w:numPr>
      <w:tabs>
        <w:tab w:val="clear" w:pos="1224"/>
        <w:tab w:val="left" w:pos="1418"/>
      </w:tabs>
      <w:autoSpaceDE w:val="0"/>
      <w:autoSpaceDN w:val="0"/>
      <w:adjustRightInd w:val="0"/>
      <w:ind w:left="0" w:firstLine="0"/>
      <w:contextualSpacing/>
      <w:jc w:val="both"/>
    </w:pPr>
    <w:rPr>
      <w:rFonts w:ascii="Courier New" w:eastAsia="Tahoma" w:hAnsi="Courier New"/>
      <w:lang w:eastAsia="lt-LT"/>
    </w:rPr>
  </w:style>
  <w:style w:type="numbering" w:styleId="111111">
    <w:name w:val="Outline List 2"/>
    <w:basedOn w:val="Sraonra"/>
    <w:rsid w:val="00437BD1"/>
    <w:pPr>
      <w:numPr>
        <w:numId w:val="1"/>
      </w:numPr>
    </w:pPr>
  </w:style>
  <w:style w:type="character" w:customStyle="1" w:styleId="Pagrindinistekstas17">
    <w:name w:val="Pagrindinis tekstas17"/>
    <w:rsid w:val="00437BD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4">
    <w:name w:val="Pagrindinis tekstas (4)_"/>
    <w:link w:val="Pagrindinistekstas41"/>
    <w:uiPriority w:val="99"/>
    <w:rsid w:val="00437BD1"/>
    <w:rPr>
      <w:rFonts w:ascii="Times New Roman" w:eastAsia="Times New Roman" w:hAnsi="Times New Roman"/>
      <w:sz w:val="16"/>
      <w:szCs w:val="16"/>
      <w:shd w:val="clear" w:color="auto" w:fill="FFFFFF"/>
    </w:rPr>
  </w:style>
  <w:style w:type="paragraph" w:customStyle="1" w:styleId="ListParagraph1">
    <w:name w:val="List Paragraph1"/>
    <w:basedOn w:val="prastasis"/>
    <w:link w:val="ListParagraphChar"/>
    <w:qFormat/>
    <w:rsid w:val="00437BD1"/>
    <w:pPr>
      <w:ind w:left="720"/>
      <w:contextualSpacing/>
    </w:pPr>
    <w:rPr>
      <w:rFonts w:ascii="Tahoma" w:eastAsia="Tahoma" w:hAnsi="Tahoma"/>
      <w:lang w:eastAsia="lt-LT"/>
    </w:rPr>
  </w:style>
  <w:style w:type="character" w:customStyle="1" w:styleId="ListParagraphChar">
    <w:name w:val="List Paragraph Char"/>
    <w:link w:val="ListParagraph1"/>
    <w:rsid w:val="00437BD1"/>
    <w:rPr>
      <w:rFonts w:ascii="Tahoma" w:eastAsia="Tahoma" w:hAnsi="Tahoma"/>
      <w:sz w:val="24"/>
      <w:szCs w:val="24"/>
    </w:rPr>
  </w:style>
  <w:style w:type="paragraph" w:customStyle="1" w:styleId="Hyperlink1">
    <w:name w:val="Hyperlink1"/>
    <w:basedOn w:val="prastasis"/>
    <w:uiPriority w:val="99"/>
    <w:rsid w:val="00437BD1"/>
    <w:pPr>
      <w:suppressAutoHyphens/>
      <w:autoSpaceDE w:val="0"/>
      <w:autoSpaceDN w:val="0"/>
      <w:adjustRightInd w:val="0"/>
      <w:spacing w:line="298" w:lineRule="auto"/>
      <w:ind w:firstLine="312"/>
      <w:jc w:val="both"/>
      <w:textAlignment w:val="center"/>
    </w:pPr>
    <w:rPr>
      <w:rFonts w:ascii="Tahoma" w:eastAsia="Tahoma" w:hAnsi="Tahoma" w:cs="Tahoma"/>
      <w:color w:val="000000"/>
      <w:sz w:val="20"/>
      <w:szCs w:val="20"/>
      <w:lang w:val="en-GB"/>
    </w:rPr>
  </w:style>
  <w:style w:type="paragraph" w:customStyle="1" w:styleId="Pagrindinistekstas41">
    <w:name w:val="Pagrindinis tekstas (4)1"/>
    <w:basedOn w:val="prastasis"/>
    <w:link w:val="Pagrindinistekstas4"/>
    <w:uiPriority w:val="99"/>
    <w:rsid w:val="00437BD1"/>
    <w:pPr>
      <w:shd w:val="clear" w:color="auto" w:fill="FFFFFF"/>
      <w:spacing w:line="283" w:lineRule="exact"/>
    </w:pPr>
    <w:rPr>
      <w:sz w:val="16"/>
      <w:szCs w:val="16"/>
      <w:lang w:eastAsia="lt-LT"/>
    </w:rPr>
  </w:style>
  <w:style w:type="character" w:customStyle="1" w:styleId="ui-provider">
    <w:name w:val="ui-provider"/>
    <w:basedOn w:val="Numatytasispastraiposriftas"/>
    <w:rsid w:val="00437BD1"/>
  </w:style>
  <w:style w:type="paragraph" w:styleId="Pagrindiniotekstotrauka3">
    <w:name w:val="Body Text Indent 3"/>
    <w:basedOn w:val="prastasis"/>
    <w:link w:val="Pagrindiniotekstotrauka3Diagrama"/>
    <w:uiPriority w:val="99"/>
    <w:semiHidden/>
    <w:unhideWhenUsed/>
    <w:rsid w:val="00437BD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37BD1"/>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20893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ligoniukasa.lrv.lt/"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ligoniukas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9295-B447-44AB-AC91-67AD1B10534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9F072C-8D23-4035-A6E1-6FE42D1E6C46"/>
    <ds:schemaRef ds:uri="1b9f072c-8d23-4035-a6e1-6fe42d1e6c46"/>
    <ds:schemaRef ds:uri="http://www.w3.org/XML/1998/namespace"/>
    <ds:schemaRef ds:uri="http://purl.org/dc/dcmitype/"/>
  </ds:schemaRefs>
</ds:datastoreItem>
</file>

<file path=customXml/itemProps2.xml><?xml version="1.0" encoding="utf-8"?>
<ds:datastoreItem xmlns:ds="http://schemas.openxmlformats.org/officeDocument/2006/customXml" ds:itemID="{9C3AD80B-BF0B-4AD5-AC97-846BE7F655D9}">
  <ds:schemaRefs>
    <ds:schemaRef ds:uri="http://schemas.microsoft.com/sharepoint/v3/contenttype/forms"/>
  </ds:schemaRefs>
</ds:datastoreItem>
</file>

<file path=customXml/itemProps3.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CA3EE-2635-4986-AC88-F72FD26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4325</Words>
  <Characters>24654</Characters>
  <Application>Microsoft Office Word</Application>
  <DocSecurity>4</DocSecurity>
  <Lines>205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Visvaldas Vilkas</cp:lastModifiedBy>
  <cp:revision>2</cp:revision>
  <cp:lastPrinted>2019-04-12T09:56:00Z</cp:lastPrinted>
  <dcterms:created xsi:type="dcterms:W3CDTF">2025-09-17T10:54:00Z</dcterms:created>
  <dcterms:modified xsi:type="dcterms:W3CDTF">2025-09-17T10:54:00Z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