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874D" w14:textId="77777777" w:rsidR="00085B67" w:rsidRPr="00157C0B" w:rsidRDefault="00285ABA" w:rsidP="00285ABA">
      <w:pPr>
        <w:spacing w:after="0" w:line="240" w:lineRule="auto"/>
        <w:jc w:val="center"/>
        <w:rPr>
          <w:rFonts w:ascii="Times New Roman" w:hAnsi="Times New Roman" w:cs="Times New Roman"/>
          <w:b/>
          <w:bCs/>
          <w:sz w:val="24"/>
          <w:szCs w:val="24"/>
        </w:rPr>
      </w:pPr>
      <w:r w:rsidRPr="00157C0B">
        <w:rPr>
          <w:rFonts w:ascii="Times New Roman" w:hAnsi="Times New Roman" w:cs="Times New Roman"/>
          <w:b/>
          <w:bCs/>
          <w:sz w:val="24"/>
          <w:szCs w:val="24"/>
        </w:rPr>
        <w:t>VALSTYBINĖ LIGONIŲ KASA PRIE SVEIKATOS APSAUGOS MINISTERIJOS</w:t>
      </w:r>
    </w:p>
    <w:p w14:paraId="521A5962" w14:textId="77777777" w:rsidR="00285ABA" w:rsidRPr="00157C0B" w:rsidRDefault="00285ABA" w:rsidP="00285ABA">
      <w:pPr>
        <w:spacing w:after="0" w:line="240" w:lineRule="auto"/>
        <w:jc w:val="center"/>
        <w:rPr>
          <w:rFonts w:ascii="Times New Roman" w:hAnsi="Times New Roman" w:cs="Times New Roman"/>
          <w:b/>
          <w:bCs/>
          <w:sz w:val="24"/>
          <w:szCs w:val="24"/>
        </w:rPr>
      </w:pPr>
    </w:p>
    <w:p w14:paraId="57E3D838" w14:textId="77777777" w:rsidR="00285ABA" w:rsidRPr="00157C0B" w:rsidRDefault="00285ABA" w:rsidP="00285ABA">
      <w:pPr>
        <w:spacing w:after="0" w:line="240" w:lineRule="auto"/>
        <w:jc w:val="center"/>
        <w:rPr>
          <w:rFonts w:ascii="Times New Roman" w:hAnsi="Times New Roman" w:cs="Times New Roman"/>
          <w:b/>
          <w:bCs/>
          <w:sz w:val="24"/>
          <w:szCs w:val="24"/>
        </w:rPr>
      </w:pPr>
    </w:p>
    <w:p w14:paraId="5AEAD175" w14:textId="7B276EB5" w:rsidR="00285ABA" w:rsidRPr="00157C0B" w:rsidRDefault="0019672E" w:rsidP="00285ABA">
      <w:pPr>
        <w:spacing w:after="0" w:line="240" w:lineRule="auto"/>
        <w:jc w:val="center"/>
        <w:rPr>
          <w:rFonts w:ascii="Times New Roman" w:hAnsi="Times New Roman" w:cs="Times New Roman"/>
          <w:b/>
          <w:bCs/>
          <w:sz w:val="24"/>
          <w:szCs w:val="24"/>
        </w:rPr>
      </w:pPr>
      <w:r w:rsidRPr="00157C0B">
        <w:rPr>
          <w:rFonts w:ascii="Times New Roman" w:hAnsi="Times New Roman" w:cs="Times New Roman"/>
          <w:b/>
          <w:bCs/>
          <w:sz w:val="24"/>
          <w:szCs w:val="24"/>
        </w:rPr>
        <w:t>2024 </w:t>
      </w:r>
      <w:r w:rsidR="00285ABA" w:rsidRPr="00157C0B">
        <w:rPr>
          <w:rFonts w:ascii="Times New Roman" w:hAnsi="Times New Roman" w:cs="Times New Roman"/>
          <w:b/>
          <w:bCs/>
          <w:sz w:val="24"/>
          <w:szCs w:val="24"/>
        </w:rPr>
        <w:t xml:space="preserve">M. ASMENS SVEIKATOS PRIEŽIŪROS ĮSTAIGŲ, VAISTINIŲ IR KITŲ ĮSTAIGŲ BEI ĮMONIŲ, SUDARIUSIŲ SUTARTIS SU VALSTYBINE LIGONIŲ KASA </w:t>
      </w:r>
    </w:p>
    <w:p w14:paraId="7D724BAB" w14:textId="77777777" w:rsidR="00285ABA" w:rsidRPr="00157C0B" w:rsidRDefault="00285ABA" w:rsidP="00285ABA">
      <w:pPr>
        <w:spacing w:after="0" w:line="240" w:lineRule="auto"/>
        <w:jc w:val="center"/>
        <w:rPr>
          <w:rFonts w:ascii="Times New Roman" w:hAnsi="Times New Roman" w:cs="Times New Roman"/>
          <w:b/>
          <w:bCs/>
          <w:sz w:val="24"/>
          <w:szCs w:val="24"/>
        </w:rPr>
      </w:pPr>
      <w:r w:rsidRPr="00157C0B">
        <w:rPr>
          <w:rFonts w:ascii="Times New Roman" w:hAnsi="Times New Roman" w:cs="Times New Roman"/>
          <w:b/>
          <w:bCs/>
          <w:sz w:val="24"/>
          <w:szCs w:val="24"/>
        </w:rPr>
        <w:t xml:space="preserve">PRIE SVEIKATOS APSAUGOS MINISTERIJOS AR </w:t>
      </w:r>
    </w:p>
    <w:p w14:paraId="24CDDAFB" w14:textId="77777777" w:rsidR="00285ABA" w:rsidRPr="00157C0B" w:rsidRDefault="00285ABA" w:rsidP="00285ABA">
      <w:pPr>
        <w:spacing w:after="0" w:line="240" w:lineRule="auto"/>
        <w:jc w:val="center"/>
        <w:rPr>
          <w:rFonts w:ascii="Times New Roman" w:hAnsi="Times New Roman" w:cs="Times New Roman"/>
          <w:b/>
          <w:bCs/>
          <w:sz w:val="24"/>
          <w:szCs w:val="24"/>
        </w:rPr>
      </w:pPr>
      <w:r w:rsidRPr="00157C0B">
        <w:rPr>
          <w:rFonts w:ascii="Times New Roman" w:hAnsi="Times New Roman" w:cs="Times New Roman"/>
          <w:b/>
          <w:bCs/>
          <w:sz w:val="24"/>
          <w:szCs w:val="24"/>
        </w:rPr>
        <w:t xml:space="preserve">TERITORINĖMIS LIGONIŲ KASOMIS, VEIKLOS PRIEŽIŪROS </w:t>
      </w:r>
    </w:p>
    <w:p w14:paraId="08568C67" w14:textId="07CC8978" w:rsidR="00285ABA" w:rsidRPr="00157C0B" w:rsidRDefault="00285ABA" w:rsidP="00285ABA">
      <w:pPr>
        <w:spacing w:after="0" w:line="240" w:lineRule="auto"/>
        <w:jc w:val="center"/>
        <w:rPr>
          <w:rFonts w:ascii="Times New Roman" w:hAnsi="Times New Roman" w:cs="Times New Roman"/>
          <w:b/>
          <w:bCs/>
          <w:sz w:val="24"/>
          <w:szCs w:val="24"/>
        </w:rPr>
      </w:pPr>
      <w:r w:rsidRPr="00157C0B">
        <w:rPr>
          <w:rFonts w:ascii="Times New Roman" w:hAnsi="Times New Roman" w:cs="Times New Roman"/>
          <w:b/>
          <w:bCs/>
          <w:sz w:val="24"/>
          <w:szCs w:val="24"/>
        </w:rPr>
        <w:t>ATASKA</w:t>
      </w:r>
      <w:r w:rsidR="00866C77" w:rsidRPr="00157C0B">
        <w:rPr>
          <w:rFonts w:ascii="Times New Roman" w:hAnsi="Times New Roman" w:cs="Times New Roman"/>
          <w:b/>
          <w:bCs/>
          <w:sz w:val="24"/>
          <w:szCs w:val="24"/>
        </w:rPr>
        <w:t>I</w:t>
      </w:r>
      <w:r w:rsidRPr="00157C0B">
        <w:rPr>
          <w:rFonts w:ascii="Times New Roman" w:hAnsi="Times New Roman" w:cs="Times New Roman"/>
          <w:b/>
          <w:bCs/>
          <w:sz w:val="24"/>
          <w:szCs w:val="24"/>
        </w:rPr>
        <w:t>TA</w:t>
      </w:r>
    </w:p>
    <w:p w14:paraId="7B550E40" w14:textId="77777777" w:rsidR="00285ABA" w:rsidRPr="00157C0B" w:rsidRDefault="00285ABA" w:rsidP="00A13081">
      <w:pPr>
        <w:spacing w:after="0" w:line="240" w:lineRule="auto"/>
        <w:rPr>
          <w:rFonts w:ascii="Times New Roman" w:hAnsi="Times New Roman" w:cs="Times New Roman"/>
          <w:b/>
          <w:bCs/>
          <w:sz w:val="24"/>
          <w:szCs w:val="24"/>
        </w:rPr>
      </w:pPr>
    </w:p>
    <w:p w14:paraId="0910AE5B" w14:textId="026D4861" w:rsidR="00285ABA" w:rsidRPr="00157C0B" w:rsidRDefault="0019672E" w:rsidP="00285ABA">
      <w:pPr>
        <w:spacing w:after="0" w:line="240" w:lineRule="auto"/>
        <w:jc w:val="center"/>
        <w:rPr>
          <w:rFonts w:ascii="Times New Roman" w:hAnsi="Times New Roman" w:cs="Times New Roman"/>
          <w:sz w:val="24"/>
          <w:szCs w:val="24"/>
        </w:rPr>
      </w:pPr>
      <w:r w:rsidRPr="00157C0B">
        <w:rPr>
          <w:rFonts w:ascii="Times New Roman" w:hAnsi="Times New Roman" w:cs="Times New Roman"/>
          <w:sz w:val="24"/>
          <w:szCs w:val="24"/>
        </w:rPr>
        <w:t>2025 </w:t>
      </w:r>
      <w:r w:rsidR="00285ABA" w:rsidRPr="00157C0B">
        <w:rPr>
          <w:rFonts w:ascii="Times New Roman" w:hAnsi="Times New Roman" w:cs="Times New Roman"/>
          <w:sz w:val="24"/>
          <w:szCs w:val="24"/>
        </w:rPr>
        <w:t>m.</w:t>
      </w:r>
      <w:r w:rsidR="00756DC0" w:rsidRPr="00157C0B">
        <w:rPr>
          <w:rFonts w:ascii="Times New Roman" w:hAnsi="Times New Roman" w:cs="Times New Roman"/>
          <w:sz w:val="24"/>
          <w:szCs w:val="24"/>
        </w:rPr>
        <w:t xml:space="preserve"> </w:t>
      </w:r>
      <w:r w:rsidR="00E10714">
        <w:rPr>
          <w:rFonts w:ascii="Times New Roman" w:hAnsi="Times New Roman" w:cs="Times New Roman"/>
          <w:sz w:val="24"/>
          <w:szCs w:val="24"/>
        </w:rPr>
        <w:t>kovo 27 d.</w:t>
      </w:r>
      <w:r w:rsidR="008B4C07">
        <w:rPr>
          <w:rFonts w:ascii="Times New Roman" w:hAnsi="Times New Roman" w:cs="Times New Roman"/>
          <w:sz w:val="24"/>
          <w:szCs w:val="24"/>
        </w:rPr>
        <w:t xml:space="preserve"> </w:t>
      </w:r>
      <w:r w:rsidR="00285ABA" w:rsidRPr="00157C0B">
        <w:rPr>
          <w:rFonts w:ascii="Times New Roman" w:hAnsi="Times New Roman" w:cs="Times New Roman"/>
          <w:sz w:val="24"/>
          <w:szCs w:val="24"/>
        </w:rPr>
        <w:t xml:space="preserve">Nr. </w:t>
      </w:r>
      <w:r w:rsidR="00AA36D5" w:rsidRPr="00AA36D5">
        <w:rPr>
          <w:rFonts w:ascii="Times New Roman" w:hAnsi="Times New Roman" w:cs="Times New Roman"/>
          <w:sz w:val="24"/>
          <w:szCs w:val="24"/>
        </w:rPr>
        <w:t>7K-759</w:t>
      </w:r>
    </w:p>
    <w:p w14:paraId="5FFD8B55" w14:textId="77777777" w:rsidR="00285ABA" w:rsidRPr="00157C0B" w:rsidRDefault="00285ABA" w:rsidP="00285ABA">
      <w:pPr>
        <w:spacing w:after="0" w:line="240" w:lineRule="auto"/>
        <w:jc w:val="center"/>
        <w:rPr>
          <w:rFonts w:ascii="Times New Roman" w:hAnsi="Times New Roman" w:cs="Times New Roman"/>
          <w:sz w:val="24"/>
          <w:szCs w:val="24"/>
        </w:rPr>
      </w:pPr>
      <w:r w:rsidRPr="00157C0B">
        <w:rPr>
          <w:rFonts w:ascii="Times New Roman" w:hAnsi="Times New Roman" w:cs="Times New Roman"/>
          <w:sz w:val="24"/>
          <w:szCs w:val="24"/>
        </w:rPr>
        <w:t>Vilnius</w:t>
      </w:r>
    </w:p>
    <w:p w14:paraId="1CD73783" w14:textId="77777777" w:rsidR="00285ABA" w:rsidRPr="00157C0B" w:rsidRDefault="00285ABA" w:rsidP="00A13081">
      <w:pPr>
        <w:spacing w:after="0" w:line="240" w:lineRule="auto"/>
        <w:rPr>
          <w:rFonts w:ascii="Times New Roman" w:hAnsi="Times New Roman" w:cs="Times New Roman"/>
          <w:sz w:val="24"/>
          <w:szCs w:val="24"/>
        </w:rPr>
      </w:pPr>
    </w:p>
    <w:p w14:paraId="07796B32" w14:textId="56AE87D8" w:rsidR="00CC1AED" w:rsidRPr="006715A7" w:rsidRDefault="00285ABA" w:rsidP="00CC1AED">
      <w:pPr>
        <w:spacing w:after="0" w:line="240" w:lineRule="auto"/>
        <w:ind w:firstLine="851"/>
        <w:jc w:val="both"/>
        <w:rPr>
          <w:rFonts w:ascii="Times New Roman" w:hAnsi="Times New Roman" w:cs="Times New Roman"/>
          <w:sz w:val="24"/>
          <w:szCs w:val="24"/>
        </w:rPr>
      </w:pPr>
      <w:r w:rsidRPr="006715A7">
        <w:rPr>
          <w:rFonts w:ascii="Times New Roman" w:hAnsi="Times New Roman" w:cs="Times New Roman"/>
          <w:sz w:val="24"/>
          <w:szCs w:val="24"/>
        </w:rPr>
        <w:t>Valstybinės ligonių kasos prie Sveikatos apsaugos ministerijos (toliau – VLK) ir teritorinių ligonių kasų (toliau – TLK) vykdomos asmens sveikatos priežiūros įstaigų</w:t>
      </w:r>
      <w:r w:rsidR="005A1E29" w:rsidRPr="006715A7">
        <w:rPr>
          <w:rFonts w:ascii="Times New Roman" w:hAnsi="Times New Roman" w:cs="Times New Roman"/>
          <w:sz w:val="24"/>
          <w:szCs w:val="24"/>
        </w:rPr>
        <w:t xml:space="preserve"> (toliau – ASPĮ)</w:t>
      </w:r>
      <w:r w:rsidRPr="006715A7">
        <w:rPr>
          <w:rFonts w:ascii="Times New Roman" w:hAnsi="Times New Roman" w:cs="Times New Roman"/>
          <w:sz w:val="24"/>
          <w:szCs w:val="24"/>
        </w:rPr>
        <w:t xml:space="preserve">, vaistinių ir kitų įstaigų bei įmonių (toliau – ūkio subjektai), sudariusių sutartis su VLK ar TLK, veiklos priežiūros prioritetinės sritys – tai įstaigų ir įmonių konsultavimas bei jų veiklos duomenų </w:t>
      </w:r>
      <w:r w:rsidR="00E82F06" w:rsidRPr="006715A7">
        <w:rPr>
          <w:rFonts w:ascii="Times New Roman" w:hAnsi="Times New Roman" w:cs="Times New Roman"/>
          <w:sz w:val="24"/>
          <w:szCs w:val="24"/>
        </w:rPr>
        <w:t>privalomojo sveikatos draudimo informacinėje sistemoje „Sveidra“ (toliau – IS</w:t>
      </w:r>
      <w:r w:rsidR="00FF4143" w:rsidRPr="006715A7">
        <w:rPr>
          <w:rFonts w:ascii="Times New Roman" w:hAnsi="Times New Roman" w:cs="Times New Roman"/>
          <w:sz w:val="24"/>
          <w:szCs w:val="24"/>
        </w:rPr>
        <w:t> </w:t>
      </w:r>
      <w:r w:rsidR="00E82F06" w:rsidRPr="006715A7">
        <w:rPr>
          <w:rFonts w:ascii="Times New Roman" w:hAnsi="Times New Roman" w:cs="Times New Roman"/>
          <w:sz w:val="24"/>
          <w:szCs w:val="24"/>
        </w:rPr>
        <w:t xml:space="preserve">„Sveidra“) </w:t>
      </w:r>
      <w:r w:rsidRPr="006715A7">
        <w:rPr>
          <w:rFonts w:ascii="Times New Roman" w:hAnsi="Times New Roman" w:cs="Times New Roman"/>
          <w:sz w:val="24"/>
          <w:szCs w:val="24"/>
        </w:rPr>
        <w:t xml:space="preserve">stebėsena. </w:t>
      </w:r>
    </w:p>
    <w:p w14:paraId="5811FF08" w14:textId="0A2C7C58" w:rsidR="005532F0" w:rsidRPr="006715A7" w:rsidRDefault="00CC1AED" w:rsidP="00546D6A">
      <w:pPr>
        <w:spacing w:after="0" w:line="240" w:lineRule="auto"/>
        <w:ind w:firstLine="851"/>
        <w:jc w:val="both"/>
        <w:rPr>
          <w:rFonts w:ascii="Times New Roman" w:hAnsi="Times New Roman" w:cs="Times New Roman"/>
          <w:bCs/>
          <w:color w:val="000000"/>
          <w:sz w:val="24"/>
          <w:szCs w:val="24"/>
        </w:rPr>
      </w:pPr>
      <w:r w:rsidRPr="006715A7">
        <w:rPr>
          <w:rFonts w:ascii="Times New Roman" w:hAnsi="Times New Roman" w:cs="Times New Roman"/>
          <w:sz w:val="24"/>
          <w:szCs w:val="24"/>
        </w:rPr>
        <w:t>Kontrolės procedūros vykdomos vadovaujantis</w:t>
      </w:r>
      <w:r w:rsidR="00A10DFF" w:rsidRPr="006715A7">
        <w:rPr>
          <w:rFonts w:ascii="Times New Roman" w:hAnsi="Times New Roman" w:cs="Times New Roman"/>
          <w:sz w:val="24"/>
          <w:szCs w:val="24"/>
        </w:rPr>
        <w:t xml:space="preserve"> </w:t>
      </w:r>
      <w:r w:rsidR="008E6304" w:rsidRPr="008E6304">
        <w:rPr>
          <w:rFonts w:ascii="Times New Roman" w:hAnsi="Times New Roman" w:cs="Times New Roman"/>
          <w:sz w:val="24"/>
          <w:szCs w:val="24"/>
        </w:rPr>
        <w:t>Asmens sveikatos priežiūros įstaigų</w:t>
      </w:r>
      <w:r w:rsidRPr="006715A7">
        <w:rPr>
          <w:rFonts w:ascii="Times New Roman" w:hAnsi="Times New Roman" w:cs="Times New Roman"/>
          <w:sz w:val="24"/>
          <w:szCs w:val="24"/>
        </w:rPr>
        <w:t>, vaistinių ir kitų įstaigų bei įmonių</w:t>
      </w:r>
      <w:r w:rsidRPr="008E6304">
        <w:rPr>
          <w:rFonts w:ascii="Times New Roman" w:hAnsi="Times New Roman" w:cs="Times New Roman"/>
          <w:sz w:val="24"/>
          <w:szCs w:val="24"/>
        </w:rPr>
        <w:t xml:space="preserve">, sudariusių sutartis su </w:t>
      </w:r>
      <w:r w:rsidR="008E6304" w:rsidRPr="008E6304">
        <w:rPr>
          <w:rFonts w:ascii="Times New Roman" w:hAnsi="Times New Roman" w:cs="Times New Roman"/>
          <w:sz w:val="24"/>
          <w:szCs w:val="24"/>
        </w:rPr>
        <w:t>Valstybine ligonių kasa prie Sveikatos apsaugos ministerijos</w:t>
      </w:r>
      <w:r w:rsidRPr="008E6304">
        <w:rPr>
          <w:rFonts w:ascii="Times New Roman" w:hAnsi="Times New Roman" w:cs="Times New Roman"/>
          <w:sz w:val="24"/>
          <w:szCs w:val="24"/>
        </w:rPr>
        <w:t xml:space="preserve"> ar </w:t>
      </w:r>
      <w:r w:rsidR="008E6304" w:rsidRPr="008E6304">
        <w:rPr>
          <w:rFonts w:ascii="Times New Roman" w:hAnsi="Times New Roman" w:cs="Times New Roman"/>
          <w:sz w:val="24"/>
          <w:szCs w:val="24"/>
        </w:rPr>
        <w:t>teritorinėmis ligonių kasomis</w:t>
      </w:r>
      <w:r w:rsidRPr="008E6304">
        <w:rPr>
          <w:rFonts w:ascii="Times New Roman" w:hAnsi="Times New Roman" w:cs="Times New Roman"/>
          <w:sz w:val="24"/>
          <w:szCs w:val="24"/>
        </w:rPr>
        <w:t>, veiklos priežiūros tvarkos</w:t>
      </w:r>
      <w:r w:rsidRPr="006715A7">
        <w:rPr>
          <w:rFonts w:ascii="Times New Roman" w:hAnsi="Times New Roman" w:cs="Times New Roman"/>
          <w:bCs/>
          <w:color w:val="000000"/>
          <w:sz w:val="24"/>
          <w:szCs w:val="24"/>
        </w:rPr>
        <w:t xml:space="preserve"> aprašu, patvirtintu VLK direktoriaus 2014</w:t>
      </w:r>
      <w:r w:rsidR="0019672E" w:rsidRPr="006715A7">
        <w:rPr>
          <w:rFonts w:ascii="Times New Roman" w:hAnsi="Times New Roman" w:cs="Times New Roman"/>
          <w:bCs/>
          <w:color w:val="000000"/>
          <w:sz w:val="24"/>
          <w:szCs w:val="24"/>
        </w:rPr>
        <w:t> </w:t>
      </w:r>
      <w:r w:rsidRPr="006715A7">
        <w:rPr>
          <w:rFonts w:ascii="Times New Roman" w:hAnsi="Times New Roman" w:cs="Times New Roman"/>
          <w:bCs/>
          <w:color w:val="000000"/>
          <w:sz w:val="24"/>
          <w:szCs w:val="24"/>
        </w:rPr>
        <w:t>m. sausio 21</w:t>
      </w:r>
      <w:r w:rsidR="0019672E" w:rsidRPr="006715A7">
        <w:rPr>
          <w:rFonts w:ascii="Times New Roman" w:hAnsi="Times New Roman" w:cs="Times New Roman"/>
          <w:bCs/>
          <w:color w:val="000000"/>
          <w:sz w:val="24"/>
          <w:szCs w:val="24"/>
        </w:rPr>
        <w:t> </w:t>
      </w:r>
      <w:r w:rsidRPr="006715A7">
        <w:rPr>
          <w:rFonts w:ascii="Times New Roman" w:hAnsi="Times New Roman" w:cs="Times New Roman"/>
          <w:bCs/>
          <w:color w:val="000000"/>
          <w:sz w:val="24"/>
          <w:szCs w:val="24"/>
        </w:rPr>
        <w:t>d. įsakymu Nr.</w:t>
      </w:r>
      <w:r w:rsidR="0019672E" w:rsidRPr="006715A7">
        <w:rPr>
          <w:rFonts w:ascii="Times New Roman" w:hAnsi="Times New Roman" w:cs="Times New Roman"/>
          <w:bCs/>
          <w:color w:val="000000"/>
          <w:sz w:val="24"/>
          <w:szCs w:val="24"/>
        </w:rPr>
        <w:t> </w:t>
      </w:r>
      <w:r w:rsidRPr="006715A7">
        <w:rPr>
          <w:rFonts w:ascii="Times New Roman" w:hAnsi="Times New Roman" w:cs="Times New Roman"/>
          <w:bCs/>
          <w:color w:val="000000"/>
          <w:sz w:val="24"/>
          <w:szCs w:val="24"/>
        </w:rPr>
        <w:t>1K-10 „Dėl Asmens sveikatos priežiūros įstaigų, vaistinių ir kitų įstaigų bei įmonių, sudariusių sutartis su Valstybine ligonių kasa prie Sveikatos apsaugos ministerijos ar teritorinėmis ligonių kasomis, veiklos priežiūros tvarkos aprašo patvirtinimo“</w:t>
      </w:r>
      <w:r w:rsidR="00BF19E2" w:rsidRPr="006715A7">
        <w:rPr>
          <w:rFonts w:ascii="Times New Roman" w:hAnsi="Times New Roman" w:cs="Times New Roman"/>
          <w:bCs/>
          <w:color w:val="000000"/>
          <w:sz w:val="24"/>
          <w:szCs w:val="24"/>
        </w:rPr>
        <w:t xml:space="preserve"> (toliau – Aprašas)</w:t>
      </w:r>
      <w:r w:rsidRPr="006715A7">
        <w:rPr>
          <w:rFonts w:ascii="Times New Roman" w:hAnsi="Times New Roman" w:cs="Times New Roman"/>
          <w:bCs/>
          <w:color w:val="000000"/>
          <w:sz w:val="24"/>
          <w:szCs w:val="24"/>
        </w:rPr>
        <w:t>.</w:t>
      </w:r>
      <w:r w:rsidR="00546D6A" w:rsidRPr="006715A7">
        <w:rPr>
          <w:rFonts w:ascii="Times New Roman" w:hAnsi="Times New Roman" w:cs="Times New Roman"/>
          <w:bCs/>
          <w:color w:val="000000"/>
          <w:sz w:val="24"/>
          <w:szCs w:val="24"/>
        </w:rPr>
        <w:t xml:space="preserve"> </w:t>
      </w:r>
    </w:p>
    <w:p w14:paraId="4571B3A4" w14:textId="75E3AFD2" w:rsidR="00CC1AED" w:rsidRPr="006715A7" w:rsidRDefault="00CC1AED" w:rsidP="00546D6A">
      <w:pPr>
        <w:spacing w:after="0" w:line="240" w:lineRule="auto"/>
        <w:ind w:firstLine="851"/>
        <w:jc w:val="both"/>
        <w:rPr>
          <w:rFonts w:ascii="Times New Roman" w:hAnsi="Times New Roman" w:cs="Times New Roman"/>
          <w:bCs/>
          <w:color w:val="000000"/>
          <w:sz w:val="24"/>
          <w:szCs w:val="24"/>
        </w:rPr>
      </w:pPr>
      <w:r w:rsidRPr="006715A7">
        <w:rPr>
          <w:rFonts w:ascii="Times New Roman" w:hAnsi="Times New Roman" w:cs="Times New Roman"/>
          <w:sz w:val="24"/>
          <w:szCs w:val="24"/>
        </w:rPr>
        <w:t xml:space="preserve">Ataskaita parengta pagal TLK </w:t>
      </w:r>
      <w:bookmarkStart w:id="0" w:name="_Hlk128348448"/>
      <w:r w:rsidRPr="006715A7">
        <w:rPr>
          <w:rFonts w:ascii="Times New Roman" w:hAnsi="Times New Roman" w:cs="Times New Roman"/>
          <w:sz w:val="24"/>
          <w:szCs w:val="24"/>
        </w:rPr>
        <w:t>metinių ūkio subjektų, sudariusių sutartis su VLK ar TLK, veiklos priežiūros ataskaitų</w:t>
      </w:r>
      <w:bookmarkEnd w:id="0"/>
      <w:r w:rsidRPr="006715A7">
        <w:rPr>
          <w:rFonts w:ascii="Times New Roman" w:hAnsi="Times New Roman" w:cs="Times New Roman"/>
          <w:sz w:val="24"/>
          <w:szCs w:val="24"/>
        </w:rPr>
        <w:t>, nustatytų Apraše</w:t>
      </w:r>
      <w:r w:rsidR="00543D3F" w:rsidRPr="006715A7">
        <w:rPr>
          <w:rFonts w:ascii="Times New Roman" w:hAnsi="Times New Roman" w:cs="Times New Roman"/>
          <w:sz w:val="24"/>
          <w:szCs w:val="24"/>
        </w:rPr>
        <w:t>,</w:t>
      </w:r>
      <w:r w:rsidR="005532F0" w:rsidRPr="006715A7">
        <w:rPr>
          <w:rFonts w:ascii="Times New Roman" w:hAnsi="Times New Roman" w:cs="Times New Roman"/>
          <w:sz w:val="24"/>
          <w:szCs w:val="24"/>
        </w:rPr>
        <w:t xml:space="preserve"> ir </w:t>
      </w:r>
      <w:r w:rsidR="005532F0" w:rsidRPr="006715A7">
        <w:rPr>
          <w:rFonts w:ascii="Times New Roman" w:hAnsi="Times New Roman" w:cs="Times New Roman"/>
          <w:bCs/>
          <w:sz w:val="24"/>
          <w:szCs w:val="24"/>
        </w:rPr>
        <w:t xml:space="preserve">grįžtamojo ryšio su ūkio subjektais apklausų </w:t>
      </w:r>
      <w:r w:rsidR="005532F0" w:rsidRPr="006715A7">
        <w:rPr>
          <w:rFonts w:ascii="Times New Roman" w:hAnsi="Times New Roman" w:cs="Times New Roman"/>
          <w:sz w:val="24"/>
          <w:szCs w:val="24"/>
        </w:rPr>
        <w:t>duomenis.</w:t>
      </w:r>
    </w:p>
    <w:p w14:paraId="36057D56" w14:textId="77777777" w:rsidR="0027437C" w:rsidRPr="006715A7" w:rsidRDefault="0027437C" w:rsidP="00BB085A">
      <w:pPr>
        <w:spacing w:after="0" w:line="240" w:lineRule="auto"/>
        <w:ind w:firstLine="851"/>
        <w:jc w:val="both"/>
        <w:rPr>
          <w:rFonts w:ascii="Times New Roman" w:hAnsi="Times New Roman" w:cs="Times New Roman"/>
          <w:b/>
          <w:bCs/>
          <w:sz w:val="24"/>
          <w:szCs w:val="24"/>
        </w:rPr>
      </w:pPr>
    </w:p>
    <w:p w14:paraId="11C23678" w14:textId="3C5E67FB" w:rsidR="0055141B" w:rsidRPr="00B51CA0" w:rsidRDefault="005C1160" w:rsidP="0055141B">
      <w:pPr>
        <w:spacing w:after="0" w:line="240" w:lineRule="auto"/>
        <w:ind w:firstLine="851"/>
        <w:jc w:val="both"/>
        <w:rPr>
          <w:rFonts w:ascii="Times New Roman" w:hAnsi="Times New Roman" w:cs="Times New Roman"/>
          <w:b/>
          <w:bCs/>
          <w:sz w:val="24"/>
          <w:szCs w:val="24"/>
        </w:rPr>
      </w:pPr>
      <w:r w:rsidRPr="00B51CA0">
        <w:rPr>
          <w:rFonts w:ascii="Times New Roman" w:hAnsi="Times New Roman" w:cs="Times New Roman"/>
          <w:b/>
          <w:bCs/>
          <w:sz w:val="24"/>
          <w:szCs w:val="24"/>
        </w:rPr>
        <w:t>P</w:t>
      </w:r>
      <w:r w:rsidR="0027437C" w:rsidRPr="00B51CA0">
        <w:rPr>
          <w:rFonts w:ascii="Times New Roman" w:hAnsi="Times New Roman" w:cs="Times New Roman"/>
          <w:b/>
          <w:bCs/>
          <w:sz w:val="24"/>
          <w:szCs w:val="24"/>
        </w:rPr>
        <w:t>arengti ir patikslinti teisės aktai</w:t>
      </w:r>
      <w:r w:rsidR="00DB762C" w:rsidRPr="00B51CA0">
        <w:rPr>
          <w:rFonts w:ascii="Times New Roman" w:hAnsi="Times New Roman" w:cs="Times New Roman"/>
          <w:b/>
          <w:bCs/>
          <w:sz w:val="24"/>
          <w:szCs w:val="24"/>
        </w:rPr>
        <w:t>,</w:t>
      </w:r>
      <w:r w:rsidR="0027437C" w:rsidRPr="00B51CA0">
        <w:rPr>
          <w:rFonts w:ascii="Times New Roman" w:hAnsi="Times New Roman" w:cs="Times New Roman"/>
          <w:b/>
          <w:bCs/>
          <w:sz w:val="24"/>
          <w:szCs w:val="24"/>
        </w:rPr>
        <w:t xml:space="preserve"> reglamentuojant</w:t>
      </w:r>
      <w:r w:rsidR="00DB762C" w:rsidRPr="00B51CA0">
        <w:rPr>
          <w:rFonts w:ascii="Times New Roman" w:hAnsi="Times New Roman" w:cs="Times New Roman"/>
          <w:b/>
          <w:bCs/>
          <w:sz w:val="24"/>
          <w:szCs w:val="24"/>
        </w:rPr>
        <w:t>y</w:t>
      </w:r>
      <w:r w:rsidR="0027437C" w:rsidRPr="00B51CA0">
        <w:rPr>
          <w:rFonts w:ascii="Times New Roman" w:hAnsi="Times New Roman" w:cs="Times New Roman"/>
          <w:b/>
          <w:bCs/>
          <w:sz w:val="24"/>
          <w:szCs w:val="24"/>
        </w:rPr>
        <w:t xml:space="preserve">s ūkio subjektų </w:t>
      </w:r>
      <w:r w:rsidR="00B47B71" w:rsidRPr="00B51CA0">
        <w:rPr>
          <w:rFonts w:ascii="Times New Roman" w:hAnsi="Times New Roman" w:cs="Times New Roman"/>
          <w:b/>
          <w:bCs/>
          <w:sz w:val="24"/>
          <w:szCs w:val="24"/>
        </w:rPr>
        <w:t xml:space="preserve">veiklos </w:t>
      </w:r>
      <w:r w:rsidR="0027437C" w:rsidRPr="00B51CA0">
        <w:rPr>
          <w:rFonts w:ascii="Times New Roman" w:hAnsi="Times New Roman" w:cs="Times New Roman"/>
          <w:b/>
          <w:bCs/>
          <w:sz w:val="24"/>
          <w:szCs w:val="24"/>
        </w:rPr>
        <w:t>priežiūrą</w:t>
      </w:r>
    </w:p>
    <w:p w14:paraId="279FAE2A" w14:textId="77777777" w:rsidR="00707086" w:rsidRPr="00B51CA0" w:rsidRDefault="006A6B1A" w:rsidP="00707086">
      <w:pPr>
        <w:spacing w:after="0" w:line="240" w:lineRule="auto"/>
        <w:ind w:firstLine="851"/>
        <w:jc w:val="both"/>
        <w:rPr>
          <w:rFonts w:ascii="Times New Roman" w:hAnsi="Times New Roman" w:cs="Times New Roman"/>
          <w:sz w:val="24"/>
          <w:szCs w:val="24"/>
        </w:rPr>
      </w:pPr>
      <w:r w:rsidRPr="00B51CA0">
        <w:rPr>
          <w:rFonts w:ascii="Times New Roman" w:hAnsi="Times New Roman" w:cs="Times New Roman"/>
          <w:sz w:val="24"/>
          <w:szCs w:val="24"/>
        </w:rPr>
        <w:t xml:space="preserve">VLK direktoriaus </w:t>
      </w:r>
      <w:r w:rsidR="0019672E" w:rsidRPr="00B51CA0">
        <w:rPr>
          <w:rFonts w:ascii="Times New Roman" w:hAnsi="Times New Roman" w:cs="Times New Roman"/>
          <w:sz w:val="24"/>
          <w:szCs w:val="24"/>
        </w:rPr>
        <w:t>2025 </w:t>
      </w:r>
      <w:r w:rsidRPr="00B51CA0">
        <w:rPr>
          <w:rFonts w:ascii="Times New Roman" w:hAnsi="Times New Roman" w:cs="Times New Roman"/>
          <w:sz w:val="24"/>
          <w:szCs w:val="24"/>
        </w:rPr>
        <w:t xml:space="preserve">m. </w:t>
      </w:r>
      <w:r w:rsidR="0019672E" w:rsidRPr="00B51CA0">
        <w:rPr>
          <w:rFonts w:ascii="Times New Roman" w:hAnsi="Times New Roman" w:cs="Times New Roman"/>
          <w:sz w:val="24"/>
          <w:szCs w:val="24"/>
        </w:rPr>
        <w:t>sausio 6 </w:t>
      </w:r>
      <w:r w:rsidRPr="00B51CA0">
        <w:rPr>
          <w:rFonts w:ascii="Times New Roman" w:hAnsi="Times New Roman" w:cs="Times New Roman"/>
          <w:sz w:val="24"/>
          <w:szCs w:val="24"/>
        </w:rPr>
        <w:t>d. įsakymu Nr.</w:t>
      </w:r>
      <w:r w:rsidR="0019672E" w:rsidRPr="00B51CA0">
        <w:rPr>
          <w:rFonts w:ascii="Times New Roman" w:hAnsi="Times New Roman" w:cs="Times New Roman"/>
          <w:sz w:val="24"/>
          <w:szCs w:val="24"/>
        </w:rPr>
        <w:t> </w:t>
      </w:r>
      <w:r w:rsidRPr="00B51CA0">
        <w:rPr>
          <w:rFonts w:ascii="Times New Roman" w:hAnsi="Times New Roman" w:cs="Times New Roman"/>
          <w:sz w:val="24"/>
          <w:szCs w:val="24"/>
        </w:rPr>
        <w:t>1K-</w:t>
      </w:r>
      <w:r w:rsidR="0019672E" w:rsidRPr="00B51CA0">
        <w:rPr>
          <w:rFonts w:ascii="Times New Roman" w:hAnsi="Times New Roman" w:cs="Times New Roman"/>
          <w:sz w:val="24"/>
          <w:szCs w:val="24"/>
        </w:rPr>
        <w:t xml:space="preserve">7 </w:t>
      </w:r>
      <w:r w:rsidRPr="00B51CA0">
        <w:rPr>
          <w:rFonts w:ascii="Times New Roman" w:hAnsi="Times New Roman" w:cs="Times New Roman"/>
          <w:sz w:val="24"/>
          <w:szCs w:val="24"/>
        </w:rPr>
        <w:t>„</w:t>
      </w:r>
      <w:r w:rsidR="0019672E" w:rsidRPr="00B51CA0">
        <w:rPr>
          <w:rFonts w:ascii="Times New Roman" w:hAnsi="Times New Roman" w:cs="Times New Roman"/>
          <w:sz w:val="24"/>
          <w:szCs w:val="24"/>
        </w:rPr>
        <w:t>Dėl 2025 metų prioritetinių vykdomos ūkio subjektų veiklos priežiūros krypčių sąrašo patvirtinimo</w:t>
      </w:r>
      <w:r w:rsidRPr="00B51CA0">
        <w:rPr>
          <w:rFonts w:ascii="Times New Roman" w:hAnsi="Times New Roman" w:cs="Times New Roman"/>
          <w:sz w:val="24"/>
          <w:szCs w:val="24"/>
        </w:rPr>
        <w:t xml:space="preserve">“ </w:t>
      </w:r>
      <w:r w:rsidR="004B016D" w:rsidRPr="00B51CA0">
        <w:rPr>
          <w:rFonts w:ascii="Times New Roman" w:hAnsi="Times New Roman" w:cs="Times New Roman"/>
          <w:sz w:val="24"/>
          <w:szCs w:val="24"/>
        </w:rPr>
        <w:t xml:space="preserve">buvo </w:t>
      </w:r>
      <w:r w:rsidRPr="00B51CA0">
        <w:rPr>
          <w:rFonts w:ascii="Times New Roman" w:hAnsi="Times New Roman" w:cs="Times New Roman"/>
          <w:sz w:val="24"/>
          <w:szCs w:val="24"/>
        </w:rPr>
        <w:t xml:space="preserve">patvirtintos </w:t>
      </w:r>
      <w:r w:rsidR="003A0CE7" w:rsidRPr="00B51CA0">
        <w:rPr>
          <w:rFonts w:ascii="Times New Roman" w:hAnsi="Times New Roman" w:cs="Times New Roman"/>
          <w:sz w:val="24"/>
          <w:szCs w:val="24"/>
        </w:rPr>
        <w:t>202</w:t>
      </w:r>
      <w:r w:rsidR="0019672E" w:rsidRPr="00B51CA0">
        <w:rPr>
          <w:rFonts w:ascii="Times New Roman" w:hAnsi="Times New Roman" w:cs="Times New Roman"/>
          <w:sz w:val="24"/>
          <w:szCs w:val="24"/>
        </w:rPr>
        <w:t>5</w:t>
      </w:r>
      <w:r w:rsidR="00FF4143" w:rsidRPr="00B51CA0">
        <w:rPr>
          <w:rFonts w:ascii="Times New Roman" w:hAnsi="Times New Roman" w:cs="Times New Roman"/>
          <w:sz w:val="24"/>
          <w:szCs w:val="24"/>
        </w:rPr>
        <w:t> </w:t>
      </w:r>
      <w:r w:rsidR="003A0CE7" w:rsidRPr="00B51CA0">
        <w:rPr>
          <w:rFonts w:ascii="Times New Roman" w:hAnsi="Times New Roman" w:cs="Times New Roman"/>
          <w:sz w:val="24"/>
          <w:szCs w:val="24"/>
        </w:rPr>
        <w:t xml:space="preserve">m. </w:t>
      </w:r>
      <w:r w:rsidRPr="00B51CA0">
        <w:rPr>
          <w:rFonts w:ascii="Times New Roman" w:hAnsi="Times New Roman" w:cs="Times New Roman"/>
          <w:sz w:val="24"/>
          <w:szCs w:val="24"/>
        </w:rPr>
        <w:t xml:space="preserve">TLK prioritetinės </w:t>
      </w:r>
      <w:r w:rsidR="00B15860" w:rsidRPr="00B51CA0">
        <w:rPr>
          <w:rFonts w:ascii="Times New Roman" w:hAnsi="Times New Roman" w:cs="Times New Roman"/>
          <w:sz w:val="24"/>
          <w:szCs w:val="24"/>
        </w:rPr>
        <w:t>ūkio subjektų veiklos priežiūros</w:t>
      </w:r>
      <w:r w:rsidRPr="00B51CA0">
        <w:rPr>
          <w:rFonts w:ascii="Times New Roman" w:hAnsi="Times New Roman" w:cs="Times New Roman"/>
          <w:sz w:val="24"/>
          <w:szCs w:val="24"/>
        </w:rPr>
        <w:t xml:space="preserve"> kryptys</w:t>
      </w:r>
      <w:r w:rsidR="003A0CE7" w:rsidRPr="00B51CA0">
        <w:rPr>
          <w:rFonts w:ascii="Times New Roman" w:hAnsi="Times New Roman" w:cs="Times New Roman"/>
          <w:sz w:val="24"/>
          <w:szCs w:val="24"/>
        </w:rPr>
        <w:t>.</w:t>
      </w:r>
    </w:p>
    <w:p w14:paraId="103BB9F8" w14:textId="77777777" w:rsidR="003059E4" w:rsidRDefault="003059E4" w:rsidP="00707086">
      <w:pPr>
        <w:spacing w:after="0" w:line="240" w:lineRule="auto"/>
        <w:ind w:firstLine="851"/>
        <w:jc w:val="both"/>
        <w:rPr>
          <w:rFonts w:ascii="Times New Roman" w:hAnsi="Times New Roman" w:cs="Times New Roman"/>
          <w:sz w:val="24"/>
          <w:szCs w:val="24"/>
        </w:rPr>
      </w:pPr>
    </w:p>
    <w:p w14:paraId="110FC61B" w14:textId="030C76F1" w:rsidR="00FE7C27" w:rsidRPr="00B51CA0" w:rsidRDefault="002944BA" w:rsidP="00707086">
      <w:pPr>
        <w:spacing w:after="0" w:line="240" w:lineRule="auto"/>
        <w:ind w:firstLine="851"/>
        <w:jc w:val="both"/>
        <w:rPr>
          <w:rFonts w:ascii="Times New Roman" w:hAnsi="Times New Roman" w:cs="Times New Roman"/>
          <w:sz w:val="24"/>
          <w:szCs w:val="24"/>
        </w:rPr>
      </w:pPr>
      <w:r w:rsidRPr="00B51CA0">
        <w:rPr>
          <w:rFonts w:ascii="Times New Roman" w:hAnsi="Times New Roman" w:cs="Times New Roman"/>
          <w:sz w:val="24"/>
          <w:szCs w:val="24"/>
        </w:rPr>
        <w:t xml:space="preserve">Nuo </w:t>
      </w:r>
      <w:r w:rsidR="00546D6A" w:rsidRPr="00B51CA0">
        <w:rPr>
          <w:rFonts w:ascii="Times New Roman" w:hAnsi="Times New Roman" w:cs="Times New Roman"/>
          <w:sz w:val="24"/>
          <w:szCs w:val="24"/>
        </w:rPr>
        <w:t>202</w:t>
      </w:r>
      <w:r w:rsidR="00110A3F" w:rsidRPr="00B51CA0">
        <w:rPr>
          <w:rFonts w:ascii="Times New Roman" w:hAnsi="Times New Roman" w:cs="Times New Roman"/>
          <w:sz w:val="24"/>
          <w:szCs w:val="24"/>
        </w:rPr>
        <w:t>1</w:t>
      </w:r>
      <w:r w:rsidR="003D5439" w:rsidRPr="00B51CA0">
        <w:rPr>
          <w:rFonts w:ascii="Times New Roman" w:hAnsi="Times New Roman" w:cs="Times New Roman"/>
          <w:sz w:val="24"/>
          <w:szCs w:val="24"/>
        </w:rPr>
        <w:t> </w:t>
      </w:r>
      <w:r w:rsidR="00546D6A" w:rsidRPr="00B51CA0">
        <w:rPr>
          <w:rFonts w:ascii="Times New Roman" w:hAnsi="Times New Roman" w:cs="Times New Roman"/>
          <w:sz w:val="24"/>
          <w:szCs w:val="24"/>
        </w:rPr>
        <w:t xml:space="preserve">m. </w:t>
      </w:r>
      <w:r w:rsidR="00E82F06" w:rsidRPr="00B51CA0">
        <w:rPr>
          <w:rFonts w:ascii="Times New Roman" w:hAnsi="Times New Roman" w:cs="Times New Roman"/>
          <w:sz w:val="24"/>
          <w:szCs w:val="24"/>
        </w:rPr>
        <w:t xml:space="preserve">buvo </w:t>
      </w:r>
      <w:r w:rsidR="00110A3F" w:rsidRPr="00B51CA0">
        <w:rPr>
          <w:rFonts w:ascii="Times New Roman" w:hAnsi="Times New Roman" w:cs="Times New Roman"/>
          <w:sz w:val="24"/>
          <w:szCs w:val="24"/>
        </w:rPr>
        <w:t xml:space="preserve">pradėti organizuoti VLK ir TLK </w:t>
      </w:r>
      <w:r w:rsidR="00317D9F" w:rsidRPr="00B51CA0">
        <w:rPr>
          <w:rFonts w:ascii="Times New Roman" w:hAnsi="Times New Roman" w:cs="Times New Roman"/>
          <w:sz w:val="24"/>
          <w:szCs w:val="24"/>
        </w:rPr>
        <w:t xml:space="preserve">nuotoliniai pasitarimai ir konsultacijos </w:t>
      </w:r>
      <w:r w:rsidR="004B016D" w:rsidRPr="00B51CA0">
        <w:rPr>
          <w:rFonts w:ascii="Times New Roman" w:hAnsi="Times New Roman" w:cs="Times New Roman"/>
          <w:sz w:val="24"/>
          <w:szCs w:val="24"/>
        </w:rPr>
        <w:t>(naudojantis</w:t>
      </w:r>
      <w:r w:rsidR="00317D9F" w:rsidRPr="00B51CA0">
        <w:rPr>
          <w:rFonts w:ascii="Times New Roman" w:hAnsi="Times New Roman" w:cs="Times New Roman"/>
          <w:sz w:val="24"/>
          <w:szCs w:val="24"/>
        </w:rPr>
        <w:t xml:space="preserve"> </w:t>
      </w:r>
      <w:r w:rsidR="00317D9F" w:rsidRPr="00B51CA0">
        <w:rPr>
          <w:rFonts w:ascii="Times New Roman" w:hAnsi="Times New Roman" w:cs="Times New Roman"/>
          <w:i/>
          <w:iCs/>
          <w:sz w:val="24"/>
          <w:szCs w:val="24"/>
        </w:rPr>
        <w:t>Microsoft Teams</w:t>
      </w:r>
      <w:r w:rsidR="00317D9F" w:rsidRPr="00B51CA0">
        <w:rPr>
          <w:rFonts w:ascii="Times New Roman" w:hAnsi="Times New Roman" w:cs="Times New Roman"/>
          <w:sz w:val="24"/>
          <w:szCs w:val="24"/>
        </w:rPr>
        <w:t xml:space="preserve"> </w:t>
      </w:r>
      <w:r w:rsidR="004B016D" w:rsidRPr="00B51CA0">
        <w:rPr>
          <w:rFonts w:ascii="Times New Roman" w:hAnsi="Times New Roman" w:cs="Times New Roman"/>
          <w:sz w:val="24"/>
          <w:szCs w:val="24"/>
        </w:rPr>
        <w:t xml:space="preserve">programa) </w:t>
      </w:r>
      <w:r w:rsidR="00317D9F" w:rsidRPr="00B51CA0">
        <w:rPr>
          <w:rFonts w:ascii="Times New Roman" w:hAnsi="Times New Roman" w:cs="Times New Roman"/>
          <w:sz w:val="24"/>
          <w:szCs w:val="24"/>
        </w:rPr>
        <w:t>dėl kontrolės procedūrų met</w:t>
      </w:r>
      <w:r w:rsidR="00E04DDE" w:rsidRPr="00B51CA0">
        <w:rPr>
          <w:rFonts w:ascii="Times New Roman" w:hAnsi="Times New Roman" w:cs="Times New Roman"/>
          <w:sz w:val="24"/>
          <w:szCs w:val="24"/>
        </w:rPr>
        <w:t>u</w:t>
      </w:r>
      <w:r w:rsidR="00317D9F" w:rsidRPr="00B51CA0">
        <w:rPr>
          <w:rFonts w:ascii="Times New Roman" w:hAnsi="Times New Roman" w:cs="Times New Roman"/>
          <w:sz w:val="24"/>
          <w:szCs w:val="24"/>
        </w:rPr>
        <w:t xml:space="preserve"> kilusių klausimų</w:t>
      </w:r>
      <w:r w:rsidR="00E82F06" w:rsidRPr="00B51CA0">
        <w:rPr>
          <w:rFonts w:ascii="Times New Roman" w:hAnsi="Times New Roman" w:cs="Times New Roman"/>
          <w:sz w:val="24"/>
          <w:szCs w:val="24"/>
        </w:rPr>
        <w:t>. Šie pasitarimai bei konsultacijos</w:t>
      </w:r>
      <w:r w:rsidRPr="00B51CA0">
        <w:rPr>
          <w:rFonts w:ascii="Times New Roman" w:hAnsi="Times New Roman" w:cs="Times New Roman"/>
          <w:sz w:val="24"/>
          <w:szCs w:val="24"/>
        </w:rPr>
        <w:t xml:space="preserve"> pagal poreikį</w:t>
      </w:r>
      <w:r w:rsidR="00E366F0" w:rsidRPr="00B51CA0">
        <w:rPr>
          <w:rFonts w:ascii="Times New Roman" w:hAnsi="Times New Roman" w:cs="Times New Roman"/>
          <w:sz w:val="24"/>
          <w:szCs w:val="24"/>
        </w:rPr>
        <w:t xml:space="preserve"> buvo organizuojami ir </w:t>
      </w:r>
      <w:r w:rsidR="0019672E" w:rsidRPr="00B51CA0">
        <w:rPr>
          <w:rFonts w:ascii="Times New Roman" w:hAnsi="Times New Roman" w:cs="Times New Roman"/>
          <w:sz w:val="24"/>
          <w:szCs w:val="24"/>
        </w:rPr>
        <w:t xml:space="preserve">2024 </w:t>
      </w:r>
      <w:r w:rsidR="00E366F0" w:rsidRPr="00B51CA0">
        <w:rPr>
          <w:rFonts w:ascii="Times New Roman" w:hAnsi="Times New Roman" w:cs="Times New Roman"/>
          <w:sz w:val="24"/>
          <w:szCs w:val="24"/>
        </w:rPr>
        <w:t>m</w:t>
      </w:r>
      <w:r w:rsidR="00D6092B" w:rsidRPr="00B51CA0">
        <w:rPr>
          <w:rFonts w:ascii="Times New Roman" w:hAnsi="Times New Roman" w:cs="Times New Roman"/>
          <w:sz w:val="24"/>
          <w:szCs w:val="24"/>
        </w:rPr>
        <w:t>etais</w:t>
      </w:r>
      <w:r w:rsidR="00F64EE6" w:rsidRPr="00B51CA0">
        <w:rPr>
          <w:rFonts w:ascii="Times New Roman" w:hAnsi="Times New Roman" w:cs="Times New Roman"/>
          <w:sz w:val="24"/>
          <w:szCs w:val="24"/>
        </w:rPr>
        <w:t>.</w:t>
      </w:r>
      <w:r w:rsidR="00B15860" w:rsidRPr="00B51CA0">
        <w:rPr>
          <w:rFonts w:ascii="Times New Roman" w:hAnsi="Times New Roman" w:cs="Times New Roman"/>
          <w:sz w:val="24"/>
          <w:szCs w:val="24"/>
        </w:rPr>
        <w:t xml:space="preserve"> Juose dalyv</w:t>
      </w:r>
      <w:r w:rsidR="00414860" w:rsidRPr="00B51CA0">
        <w:rPr>
          <w:rFonts w:ascii="Times New Roman" w:hAnsi="Times New Roman" w:cs="Times New Roman"/>
          <w:sz w:val="24"/>
          <w:szCs w:val="24"/>
        </w:rPr>
        <w:t>auja</w:t>
      </w:r>
      <w:r w:rsidR="00B15860" w:rsidRPr="00B51CA0">
        <w:rPr>
          <w:rFonts w:ascii="Times New Roman" w:hAnsi="Times New Roman" w:cs="Times New Roman"/>
          <w:sz w:val="24"/>
          <w:szCs w:val="24"/>
        </w:rPr>
        <w:t xml:space="preserve"> ne tik kontrolę atliekantys specialistai, bet ir teisininkai, informatikai, statistikos ar sutarčių skyrių darbuotojai.</w:t>
      </w:r>
    </w:p>
    <w:p w14:paraId="252FB06F" w14:textId="2F9572C1" w:rsidR="00825244" w:rsidRPr="00B51CA0" w:rsidRDefault="008E0C1F" w:rsidP="00FA22E3">
      <w:pPr>
        <w:spacing w:after="0" w:line="240" w:lineRule="auto"/>
        <w:ind w:firstLine="851"/>
        <w:jc w:val="both"/>
        <w:rPr>
          <w:rFonts w:ascii="Times New Roman" w:hAnsi="Times New Roman" w:cs="Times New Roman"/>
          <w:sz w:val="24"/>
          <w:szCs w:val="24"/>
        </w:rPr>
      </w:pPr>
      <w:r w:rsidRPr="00B51CA0">
        <w:rPr>
          <w:rFonts w:ascii="Times New Roman" w:hAnsi="Times New Roman" w:cs="Times New Roman"/>
          <w:sz w:val="24"/>
          <w:szCs w:val="24"/>
        </w:rPr>
        <w:t xml:space="preserve">VLK </w:t>
      </w:r>
      <w:r w:rsidR="00B15860" w:rsidRPr="00B51CA0">
        <w:rPr>
          <w:rFonts w:ascii="Times New Roman" w:hAnsi="Times New Roman" w:cs="Times New Roman"/>
          <w:sz w:val="24"/>
          <w:szCs w:val="24"/>
        </w:rPr>
        <w:t>Paslaugų ekspertizės ir kontrolės skyrius</w:t>
      </w:r>
      <w:r w:rsidR="0019672E" w:rsidRPr="00B51CA0">
        <w:rPr>
          <w:rFonts w:ascii="Times New Roman" w:hAnsi="Times New Roman" w:cs="Times New Roman"/>
          <w:sz w:val="24"/>
          <w:szCs w:val="24"/>
        </w:rPr>
        <w:t xml:space="preserve"> (nuo 2025 m. sausio 1 d. Paslaugų kompensavimo skyrius)</w:t>
      </w:r>
      <w:r w:rsidR="00B15860" w:rsidRPr="00B51CA0">
        <w:rPr>
          <w:rFonts w:ascii="Times New Roman" w:hAnsi="Times New Roman" w:cs="Times New Roman"/>
          <w:sz w:val="24"/>
          <w:szCs w:val="24"/>
        </w:rPr>
        <w:t xml:space="preserve"> </w:t>
      </w:r>
      <w:r w:rsidR="001428D3" w:rsidRPr="00B51CA0">
        <w:rPr>
          <w:rFonts w:ascii="Times New Roman" w:hAnsi="Times New Roman" w:cs="Times New Roman"/>
          <w:sz w:val="24"/>
          <w:szCs w:val="24"/>
        </w:rPr>
        <w:t>2024</w:t>
      </w:r>
      <w:r w:rsidR="0011657D" w:rsidRPr="00B51CA0">
        <w:rPr>
          <w:rFonts w:ascii="Times New Roman" w:hAnsi="Times New Roman" w:cs="Times New Roman"/>
          <w:sz w:val="24"/>
          <w:szCs w:val="24"/>
        </w:rPr>
        <w:t> </w:t>
      </w:r>
      <w:r w:rsidR="001428D3" w:rsidRPr="00B51CA0">
        <w:rPr>
          <w:rFonts w:ascii="Times New Roman" w:hAnsi="Times New Roman" w:cs="Times New Roman"/>
          <w:sz w:val="24"/>
          <w:szCs w:val="24"/>
        </w:rPr>
        <w:t xml:space="preserve">m. </w:t>
      </w:r>
      <w:r w:rsidRPr="00B51CA0">
        <w:rPr>
          <w:rFonts w:ascii="Times New Roman" w:hAnsi="Times New Roman" w:cs="Times New Roman"/>
          <w:sz w:val="24"/>
          <w:szCs w:val="24"/>
        </w:rPr>
        <w:t xml:space="preserve">parengė </w:t>
      </w:r>
      <w:r w:rsidR="00D622F4" w:rsidRPr="00661D65">
        <w:rPr>
          <w:rFonts w:ascii="Times New Roman" w:hAnsi="Times New Roman" w:cs="Times New Roman"/>
          <w:sz w:val="24"/>
          <w:szCs w:val="24"/>
        </w:rPr>
        <w:t>1</w:t>
      </w:r>
      <w:r w:rsidR="0055141B" w:rsidRPr="00661D65">
        <w:rPr>
          <w:rFonts w:ascii="Times New Roman" w:hAnsi="Times New Roman" w:cs="Times New Roman"/>
          <w:sz w:val="24"/>
          <w:szCs w:val="24"/>
        </w:rPr>
        <w:t>5</w:t>
      </w:r>
      <w:r w:rsidR="0055141B" w:rsidRPr="00B51CA0">
        <w:rPr>
          <w:rFonts w:ascii="Times New Roman" w:hAnsi="Times New Roman" w:cs="Times New Roman"/>
          <w:sz w:val="24"/>
          <w:szCs w:val="24"/>
        </w:rPr>
        <w:t xml:space="preserve"> </w:t>
      </w:r>
      <w:r w:rsidRPr="00B51CA0">
        <w:rPr>
          <w:rFonts w:ascii="Times New Roman" w:hAnsi="Times New Roman" w:cs="Times New Roman"/>
          <w:sz w:val="24"/>
          <w:szCs w:val="24"/>
        </w:rPr>
        <w:t xml:space="preserve">metodinių raštų TLK ir ASPĮ. </w:t>
      </w:r>
    </w:p>
    <w:p w14:paraId="319055C3" w14:textId="009E4A81" w:rsidR="00AC2A59" w:rsidRPr="00B51CA0" w:rsidRDefault="00C135C3" w:rsidP="00FA22E3">
      <w:pPr>
        <w:spacing w:after="0" w:line="240" w:lineRule="auto"/>
        <w:ind w:firstLine="851"/>
        <w:jc w:val="both"/>
        <w:rPr>
          <w:rFonts w:ascii="Times New Roman" w:hAnsi="Times New Roman" w:cs="Times New Roman"/>
          <w:sz w:val="24"/>
          <w:szCs w:val="24"/>
        </w:rPr>
      </w:pPr>
      <w:r w:rsidRPr="00B51CA0">
        <w:rPr>
          <w:rFonts w:ascii="Times New Roman" w:hAnsi="Times New Roman" w:cs="Times New Roman"/>
          <w:sz w:val="24"/>
          <w:szCs w:val="24"/>
        </w:rPr>
        <w:t>2024 </w:t>
      </w:r>
      <w:r w:rsidR="008E0C1F" w:rsidRPr="00B51CA0">
        <w:rPr>
          <w:rFonts w:ascii="Times New Roman" w:hAnsi="Times New Roman" w:cs="Times New Roman"/>
          <w:sz w:val="24"/>
          <w:szCs w:val="24"/>
        </w:rPr>
        <w:t>m. ū</w:t>
      </w:r>
      <w:r w:rsidR="00D10F36" w:rsidRPr="00B51CA0">
        <w:rPr>
          <w:rFonts w:ascii="Times New Roman" w:hAnsi="Times New Roman" w:cs="Times New Roman"/>
          <w:sz w:val="24"/>
          <w:szCs w:val="24"/>
        </w:rPr>
        <w:t xml:space="preserve">kio subjektų konsultavimas </w:t>
      </w:r>
      <w:r w:rsidR="008E0C1F" w:rsidRPr="00B51CA0">
        <w:rPr>
          <w:rFonts w:ascii="Times New Roman" w:hAnsi="Times New Roman" w:cs="Times New Roman"/>
          <w:sz w:val="24"/>
          <w:szCs w:val="24"/>
        </w:rPr>
        <w:t>ir toliau buvo laikomas</w:t>
      </w:r>
      <w:r w:rsidR="00D10F36" w:rsidRPr="00B51CA0">
        <w:rPr>
          <w:rFonts w:ascii="Times New Roman" w:hAnsi="Times New Roman" w:cs="Times New Roman"/>
          <w:sz w:val="24"/>
          <w:szCs w:val="24"/>
        </w:rPr>
        <w:t xml:space="preserve"> VLK ir TLK vykdomos veiklos priežiūros prioritetine sritimi. Ūkio subjektai </w:t>
      </w:r>
      <w:r w:rsidR="005008E6" w:rsidRPr="00B51CA0">
        <w:rPr>
          <w:rFonts w:ascii="Times New Roman" w:hAnsi="Times New Roman" w:cs="Times New Roman"/>
          <w:sz w:val="24"/>
          <w:szCs w:val="24"/>
        </w:rPr>
        <w:t xml:space="preserve">buvo </w:t>
      </w:r>
      <w:r w:rsidR="00D10F36" w:rsidRPr="00B51CA0">
        <w:rPr>
          <w:rFonts w:ascii="Times New Roman" w:hAnsi="Times New Roman" w:cs="Times New Roman"/>
          <w:sz w:val="24"/>
          <w:szCs w:val="24"/>
        </w:rPr>
        <w:t xml:space="preserve">konsultuojami telefonu, raštu arba elektroniniu paštu, VLK ir TLK rengiamų mokymų metu, skaitant pranešimus institucijų organizuojamuose renginiuose, pasitarimuose. Informacija aktualiais arba dažnai pasikartojančiais klausimais </w:t>
      </w:r>
      <w:r w:rsidR="005008E6" w:rsidRPr="00B51CA0">
        <w:rPr>
          <w:rFonts w:ascii="Times New Roman" w:hAnsi="Times New Roman" w:cs="Times New Roman"/>
          <w:sz w:val="24"/>
          <w:szCs w:val="24"/>
        </w:rPr>
        <w:t xml:space="preserve">buvo </w:t>
      </w:r>
      <w:r w:rsidR="00D10F36" w:rsidRPr="00B51CA0">
        <w:rPr>
          <w:rFonts w:ascii="Times New Roman" w:hAnsi="Times New Roman" w:cs="Times New Roman"/>
          <w:sz w:val="24"/>
          <w:szCs w:val="24"/>
        </w:rPr>
        <w:t xml:space="preserve">skelbiama </w:t>
      </w:r>
      <w:r w:rsidR="00656143" w:rsidRPr="00B51CA0">
        <w:rPr>
          <w:rFonts w:ascii="Times New Roman" w:hAnsi="Times New Roman" w:cs="Times New Roman"/>
          <w:sz w:val="24"/>
          <w:szCs w:val="24"/>
        </w:rPr>
        <w:t xml:space="preserve">bendroje </w:t>
      </w:r>
      <w:r w:rsidR="00D10F36" w:rsidRPr="00B51CA0">
        <w:rPr>
          <w:rFonts w:ascii="Times New Roman" w:hAnsi="Times New Roman" w:cs="Times New Roman"/>
          <w:sz w:val="24"/>
          <w:szCs w:val="24"/>
        </w:rPr>
        <w:t>VLK ir TLK interneto svetainė</w:t>
      </w:r>
      <w:r w:rsidR="00656143" w:rsidRPr="00B51CA0">
        <w:rPr>
          <w:rFonts w:ascii="Times New Roman" w:hAnsi="Times New Roman" w:cs="Times New Roman"/>
          <w:sz w:val="24"/>
          <w:szCs w:val="24"/>
        </w:rPr>
        <w:t>je</w:t>
      </w:r>
      <w:r w:rsidR="00D10F36" w:rsidRPr="00B51CA0">
        <w:rPr>
          <w:rFonts w:ascii="Times New Roman" w:hAnsi="Times New Roman" w:cs="Times New Roman"/>
          <w:sz w:val="24"/>
          <w:szCs w:val="24"/>
        </w:rPr>
        <w:t xml:space="preserve">. </w:t>
      </w:r>
      <w:r w:rsidR="00F46D7C" w:rsidRPr="00B51CA0">
        <w:rPr>
          <w:rFonts w:ascii="Times New Roman" w:hAnsi="Times New Roman" w:cs="Times New Roman"/>
          <w:sz w:val="24"/>
          <w:szCs w:val="24"/>
        </w:rPr>
        <w:t>2024 </w:t>
      </w:r>
      <w:r w:rsidR="00D10F36" w:rsidRPr="00B51CA0">
        <w:rPr>
          <w:rFonts w:ascii="Times New Roman" w:hAnsi="Times New Roman" w:cs="Times New Roman"/>
          <w:sz w:val="24"/>
          <w:szCs w:val="24"/>
        </w:rPr>
        <w:t xml:space="preserve">m. bendras TLK specialistų suteiktų konsultacijų skaičius </w:t>
      </w:r>
      <w:r w:rsidR="005008E6" w:rsidRPr="00B51CA0">
        <w:rPr>
          <w:rFonts w:ascii="Times New Roman" w:hAnsi="Times New Roman" w:cs="Times New Roman"/>
          <w:sz w:val="24"/>
          <w:szCs w:val="24"/>
        </w:rPr>
        <w:t xml:space="preserve">siekė </w:t>
      </w:r>
      <w:r w:rsidR="000C7C49" w:rsidRPr="00B51CA0">
        <w:rPr>
          <w:rFonts w:ascii="Times New Roman" w:hAnsi="Times New Roman" w:cs="Times New Roman"/>
          <w:sz w:val="24"/>
          <w:szCs w:val="24"/>
        </w:rPr>
        <w:t xml:space="preserve">daugiau nei </w:t>
      </w:r>
      <w:r w:rsidR="00F46D7C" w:rsidRPr="00B51CA0">
        <w:rPr>
          <w:rFonts w:ascii="Times New Roman" w:hAnsi="Times New Roman" w:cs="Times New Roman"/>
          <w:sz w:val="24"/>
          <w:szCs w:val="24"/>
        </w:rPr>
        <w:t>1</w:t>
      </w:r>
      <w:r w:rsidR="0017271C" w:rsidRPr="00B51CA0">
        <w:rPr>
          <w:rFonts w:ascii="Times New Roman" w:hAnsi="Times New Roman" w:cs="Times New Roman"/>
          <w:sz w:val="24"/>
          <w:szCs w:val="24"/>
        </w:rPr>
        <w:t>14</w:t>
      </w:r>
      <w:r w:rsidR="00F46D7C" w:rsidRPr="00B51CA0">
        <w:rPr>
          <w:rFonts w:ascii="Times New Roman" w:hAnsi="Times New Roman" w:cs="Times New Roman"/>
          <w:sz w:val="24"/>
          <w:szCs w:val="24"/>
        </w:rPr>
        <w:t xml:space="preserve"> </w:t>
      </w:r>
      <w:r w:rsidR="00D10F36" w:rsidRPr="00B51CA0">
        <w:rPr>
          <w:rFonts w:ascii="Times New Roman" w:hAnsi="Times New Roman" w:cs="Times New Roman"/>
          <w:sz w:val="24"/>
          <w:szCs w:val="24"/>
        </w:rPr>
        <w:t>tūkstan</w:t>
      </w:r>
      <w:r w:rsidR="00A57625" w:rsidRPr="00B51CA0">
        <w:rPr>
          <w:rFonts w:ascii="Times New Roman" w:hAnsi="Times New Roman" w:cs="Times New Roman"/>
          <w:sz w:val="24"/>
          <w:szCs w:val="24"/>
        </w:rPr>
        <w:t>či</w:t>
      </w:r>
      <w:r w:rsidR="00974F56">
        <w:rPr>
          <w:rFonts w:ascii="Times New Roman" w:hAnsi="Times New Roman" w:cs="Times New Roman"/>
          <w:sz w:val="24"/>
          <w:szCs w:val="24"/>
        </w:rPr>
        <w:t>ų</w:t>
      </w:r>
      <w:r w:rsidR="00D10F36" w:rsidRPr="00B51CA0">
        <w:rPr>
          <w:rFonts w:ascii="Times New Roman" w:hAnsi="Times New Roman" w:cs="Times New Roman"/>
          <w:sz w:val="24"/>
          <w:szCs w:val="24"/>
        </w:rPr>
        <w:t xml:space="preserve">. </w:t>
      </w:r>
    </w:p>
    <w:p w14:paraId="32080830" w14:textId="46CCDEF8" w:rsidR="00383B69" w:rsidRPr="00B51CA0" w:rsidRDefault="00F7039A" w:rsidP="00130AA1">
      <w:pPr>
        <w:spacing w:after="0" w:line="240" w:lineRule="auto"/>
        <w:ind w:firstLine="851"/>
        <w:jc w:val="both"/>
        <w:rPr>
          <w:rFonts w:ascii="Times New Roman" w:hAnsi="Times New Roman" w:cs="Times New Roman"/>
          <w:sz w:val="24"/>
          <w:szCs w:val="24"/>
        </w:rPr>
      </w:pPr>
      <w:r w:rsidRPr="00B51CA0">
        <w:rPr>
          <w:rFonts w:ascii="Times New Roman" w:hAnsi="Times New Roman" w:cs="Times New Roman"/>
          <w:sz w:val="24"/>
          <w:szCs w:val="24"/>
        </w:rPr>
        <w:t>2024 </w:t>
      </w:r>
      <w:r w:rsidR="00FE7C27" w:rsidRPr="00B51CA0">
        <w:rPr>
          <w:rFonts w:ascii="Times New Roman" w:hAnsi="Times New Roman" w:cs="Times New Roman"/>
          <w:sz w:val="24"/>
          <w:szCs w:val="24"/>
        </w:rPr>
        <w:t>m. TLK vykdė įstaigų ir įmonių veiklos duomenų, kaupiamų IS</w:t>
      </w:r>
      <w:r w:rsidR="00827E40" w:rsidRPr="00B51CA0">
        <w:rPr>
          <w:rFonts w:ascii="Times New Roman" w:hAnsi="Times New Roman" w:cs="Times New Roman"/>
          <w:sz w:val="24"/>
          <w:szCs w:val="24"/>
        </w:rPr>
        <w:t> </w:t>
      </w:r>
      <w:r w:rsidR="00FE7C27" w:rsidRPr="00B51CA0">
        <w:rPr>
          <w:rFonts w:ascii="Times New Roman" w:hAnsi="Times New Roman" w:cs="Times New Roman"/>
          <w:sz w:val="24"/>
          <w:szCs w:val="24"/>
        </w:rPr>
        <w:t xml:space="preserve">„Sveidra“, </w:t>
      </w:r>
      <w:r w:rsidR="00FE7C27" w:rsidRPr="00B51CA0">
        <w:rPr>
          <w:rFonts w:ascii="Times New Roman" w:hAnsi="Times New Roman" w:cs="Times New Roman"/>
          <w:bCs/>
          <w:sz w:val="24"/>
          <w:szCs w:val="24"/>
        </w:rPr>
        <w:t xml:space="preserve">stebėseną </w:t>
      </w:r>
      <w:r w:rsidR="00FE7C27" w:rsidRPr="00B51CA0">
        <w:rPr>
          <w:rFonts w:ascii="Times New Roman" w:hAnsi="Times New Roman" w:cs="Times New Roman"/>
          <w:sz w:val="24"/>
          <w:szCs w:val="24"/>
        </w:rPr>
        <w:t xml:space="preserve">pagal </w:t>
      </w:r>
      <w:hyperlink r:id="rId8" w:history="1">
        <w:r w:rsidR="00FE7C27" w:rsidRPr="00B51CA0">
          <w:rPr>
            <w:rFonts w:ascii="Times New Roman" w:eastAsia="Times New Roman" w:hAnsi="Times New Roman" w:cs="Times New Roman"/>
            <w:sz w:val="24"/>
            <w:szCs w:val="24"/>
            <w:lang w:eastAsia="lt-LT"/>
          </w:rPr>
          <w:t xml:space="preserve">VLK direktoriaus </w:t>
        </w:r>
        <w:r w:rsidRPr="00B51CA0">
          <w:rPr>
            <w:rFonts w:ascii="Times New Roman" w:eastAsia="Times New Roman" w:hAnsi="Times New Roman" w:cs="Times New Roman"/>
            <w:sz w:val="24"/>
            <w:szCs w:val="24"/>
            <w:lang w:eastAsia="lt-LT"/>
          </w:rPr>
          <w:t>2023 </w:t>
        </w:r>
        <w:r w:rsidR="00FE7C27" w:rsidRPr="00B51CA0">
          <w:rPr>
            <w:rFonts w:ascii="Times New Roman" w:eastAsia="Times New Roman" w:hAnsi="Times New Roman" w:cs="Times New Roman"/>
            <w:sz w:val="24"/>
            <w:szCs w:val="24"/>
            <w:lang w:eastAsia="lt-LT"/>
          </w:rPr>
          <w:t xml:space="preserve">m. gruodžio </w:t>
        </w:r>
        <w:r w:rsidRPr="00B51CA0">
          <w:rPr>
            <w:rFonts w:ascii="Times New Roman" w:eastAsia="Times New Roman" w:hAnsi="Times New Roman" w:cs="Times New Roman"/>
            <w:sz w:val="24"/>
            <w:szCs w:val="24"/>
            <w:lang w:eastAsia="lt-LT"/>
          </w:rPr>
          <w:t>22 </w:t>
        </w:r>
        <w:r w:rsidR="00FE7C27" w:rsidRPr="00B51CA0">
          <w:rPr>
            <w:rFonts w:ascii="Times New Roman" w:eastAsia="Times New Roman" w:hAnsi="Times New Roman" w:cs="Times New Roman"/>
            <w:sz w:val="24"/>
            <w:szCs w:val="24"/>
            <w:lang w:eastAsia="lt-LT"/>
          </w:rPr>
          <w:t>d. įsakymu Nr.</w:t>
        </w:r>
        <w:r w:rsidRPr="00B51CA0">
          <w:rPr>
            <w:rFonts w:ascii="Times New Roman" w:eastAsia="Times New Roman" w:hAnsi="Times New Roman" w:cs="Times New Roman"/>
            <w:sz w:val="24"/>
            <w:szCs w:val="24"/>
            <w:lang w:eastAsia="lt-LT"/>
          </w:rPr>
          <w:t> </w:t>
        </w:r>
        <w:r w:rsidR="00FE7C27" w:rsidRPr="00B51CA0">
          <w:rPr>
            <w:rFonts w:ascii="Times New Roman" w:eastAsia="Times New Roman" w:hAnsi="Times New Roman" w:cs="Times New Roman"/>
            <w:sz w:val="24"/>
            <w:szCs w:val="24"/>
            <w:lang w:eastAsia="lt-LT"/>
          </w:rPr>
          <w:t>1K-</w:t>
        </w:r>
        <w:r w:rsidRPr="00B51CA0">
          <w:rPr>
            <w:rFonts w:ascii="Times New Roman" w:eastAsia="Times New Roman" w:hAnsi="Times New Roman" w:cs="Times New Roman"/>
            <w:sz w:val="24"/>
            <w:szCs w:val="24"/>
            <w:lang w:eastAsia="lt-LT"/>
          </w:rPr>
          <w:t xml:space="preserve">411 </w:t>
        </w:r>
        <w:r w:rsidR="00FE7C27" w:rsidRPr="00B51CA0">
          <w:rPr>
            <w:rFonts w:ascii="Times New Roman" w:eastAsia="Times New Roman" w:hAnsi="Times New Roman" w:cs="Times New Roman"/>
            <w:sz w:val="24"/>
            <w:szCs w:val="24"/>
            <w:lang w:eastAsia="lt-LT"/>
          </w:rPr>
          <w:t>„</w:t>
        </w:r>
        <w:r w:rsidRPr="00B51CA0">
          <w:rPr>
            <w:rFonts w:ascii="Times New Roman" w:eastAsia="Times New Roman" w:hAnsi="Times New Roman" w:cs="Times New Roman"/>
            <w:sz w:val="24"/>
            <w:szCs w:val="24"/>
            <w:lang w:eastAsia="lt-LT"/>
          </w:rPr>
          <w:t>Dėl 2024 metų prioritetinių teritorinių ligonių kasų vykdomos ūkio subjektų veiklos priežiūros krypčių sąrašo patvirtinimo</w:t>
        </w:r>
        <w:r w:rsidR="00FE7C27" w:rsidRPr="00B51CA0">
          <w:rPr>
            <w:rFonts w:ascii="Times New Roman" w:eastAsia="Times New Roman" w:hAnsi="Times New Roman" w:cs="Times New Roman"/>
            <w:sz w:val="24"/>
            <w:szCs w:val="24"/>
            <w:lang w:eastAsia="lt-LT"/>
          </w:rPr>
          <w:t>“</w:t>
        </w:r>
      </w:hyperlink>
      <w:r w:rsidR="00FE7C27" w:rsidRPr="00B51CA0">
        <w:rPr>
          <w:rFonts w:ascii="Times New Roman" w:eastAsia="Times New Roman" w:hAnsi="Times New Roman" w:cs="Times New Roman"/>
          <w:sz w:val="24"/>
          <w:szCs w:val="24"/>
          <w:lang w:eastAsia="lt-LT"/>
        </w:rPr>
        <w:t xml:space="preserve"> </w:t>
      </w:r>
      <w:r w:rsidR="00FE7C27" w:rsidRPr="00B51CA0">
        <w:rPr>
          <w:rFonts w:ascii="Times New Roman" w:hAnsi="Times New Roman" w:cs="Times New Roman"/>
          <w:sz w:val="24"/>
          <w:szCs w:val="24"/>
        </w:rPr>
        <w:t xml:space="preserve">patvirtintus </w:t>
      </w:r>
      <w:r w:rsidR="00F67440" w:rsidRPr="00B51CA0">
        <w:rPr>
          <w:rFonts w:ascii="Times New Roman" w:hAnsi="Times New Roman" w:cs="Times New Roman"/>
          <w:sz w:val="24"/>
          <w:szCs w:val="24"/>
        </w:rPr>
        <w:t>7</w:t>
      </w:r>
      <w:r w:rsidR="00C135C3" w:rsidRPr="00B51CA0">
        <w:rPr>
          <w:rFonts w:ascii="Times New Roman" w:hAnsi="Times New Roman" w:cs="Times New Roman"/>
          <w:sz w:val="24"/>
          <w:szCs w:val="24"/>
        </w:rPr>
        <w:t xml:space="preserve"> </w:t>
      </w:r>
      <w:r w:rsidR="00FE7C27" w:rsidRPr="00B51CA0">
        <w:rPr>
          <w:rFonts w:ascii="Times New Roman" w:hAnsi="Times New Roman" w:cs="Times New Roman"/>
          <w:sz w:val="24"/>
          <w:szCs w:val="24"/>
        </w:rPr>
        <w:t>stebėsenos rodiklius</w:t>
      </w:r>
      <w:r w:rsidR="00F07B73" w:rsidRPr="00B51CA0">
        <w:rPr>
          <w:rFonts w:ascii="Times New Roman" w:hAnsi="Times New Roman" w:cs="Times New Roman"/>
          <w:sz w:val="24"/>
          <w:szCs w:val="24"/>
        </w:rPr>
        <w:t>.</w:t>
      </w:r>
    </w:p>
    <w:p w14:paraId="2BF7D373" w14:textId="031DE9F6" w:rsidR="00F46D7C" w:rsidRPr="00B51CA0" w:rsidRDefault="00A57625" w:rsidP="00FA22E3">
      <w:pPr>
        <w:spacing w:after="0" w:line="240" w:lineRule="auto"/>
        <w:ind w:firstLine="851"/>
        <w:jc w:val="both"/>
        <w:rPr>
          <w:rFonts w:ascii="Times New Roman" w:hAnsi="Times New Roman" w:cs="Times New Roman"/>
          <w:sz w:val="24"/>
          <w:szCs w:val="24"/>
        </w:rPr>
      </w:pPr>
      <w:r w:rsidRPr="00B51CA0">
        <w:rPr>
          <w:rFonts w:ascii="Times New Roman" w:hAnsi="Times New Roman" w:cs="Times New Roman"/>
          <w:color w:val="242424"/>
          <w:sz w:val="24"/>
          <w:szCs w:val="24"/>
          <w:shd w:val="clear" w:color="auto" w:fill="FFFFFF"/>
        </w:rPr>
        <w:t xml:space="preserve">VLK ir TLK specialistai pagal VLK direktoriaus </w:t>
      </w:r>
      <w:r w:rsidRPr="00B51CA0">
        <w:rPr>
          <w:rFonts w:ascii="Times New Roman" w:hAnsi="Times New Roman" w:cs="Times New Roman"/>
          <w:sz w:val="24"/>
          <w:szCs w:val="24"/>
        </w:rPr>
        <w:t>2015</w:t>
      </w:r>
      <w:r w:rsidR="00F46D7C" w:rsidRPr="00B51CA0">
        <w:rPr>
          <w:rFonts w:ascii="Times New Roman" w:hAnsi="Times New Roman" w:cs="Times New Roman"/>
          <w:sz w:val="24"/>
          <w:szCs w:val="24"/>
        </w:rPr>
        <w:t> </w:t>
      </w:r>
      <w:r w:rsidRPr="00B51CA0">
        <w:rPr>
          <w:rFonts w:ascii="Times New Roman" w:hAnsi="Times New Roman" w:cs="Times New Roman"/>
          <w:sz w:val="24"/>
          <w:szCs w:val="24"/>
        </w:rPr>
        <w:t>m. gruodžio 8</w:t>
      </w:r>
      <w:r w:rsidR="00F46D7C" w:rsidRPr="00B51CA0">
        <w:rPr>
          <w:rFonts w:ascii="Times New Roman" w:hAnsi="Times New Roman" w:cs="Times New Roman"/>
          <w:sz w:val="24"/>
          <w:szCs w:val="24"/>
        </w:rPr>
        <w:t> </w:t>
      </w:r>
      <w:r w:rsidRPr="00B51CA0">
        <w:rPr>
          <w:rFonts w:ascii="Times New Roman" w:hAnsi="Times New Roman" w:cs="Times New Roman"/>
          <w:sz w:val="24"/>
          <w:szCs w:val="24"/>
        </w:rPr>
        <w:t>d. įsakymu Nr.</w:t>
      </w:r>
      <w:r w:rsidR="00F46D7C" w:rsidRPr="00B51CA0">
        <w:rPr>
          <w:rFonts w:ascii="Times New Roman" w:hAnsi="Times New Roman" w:cs="Times New Roman"/>
          <w:sz w:val="24"/>
          <w:szCs w:val="24"/>
        </w:rPr>
        <w:t> </w:t>
      </w:r>
      <w:r w:rsidRPr="00B51CA0">
        <w:rPr>
          <w:rFonts w:ascii="Times New Roman" w:hAnsi="Times New Roman" w:cs="Times New Roman"/>
          <w:sz w:val="24"/>
          <w:szCs w:val="24"/>
        </w:rPr>
        <w:t>1K-357 „Dėl Asmens sveikatos priežiūros paslaugų stebėsenos vykdymo tvarkos aprašo patvirtinimo“</w:t>
      </w:r>
      <w:r w:rsidR="00F46D7C" w:rsidRPr="00B51CA0">
        <w:rPr>
          <w:rFonts w:ascii="Times New Roman" w:hAnsi="Times New Roman" w:cs="Times New Roman"/>
          <w:color w:val="242424"/>
          <w:sz w:val="24"/>
          <w:szCs w:val="24"/>
          <w:shd w:val="clear" w:color="auto" w:fill="FFFFFF"/>
        </w:rPr>
        <w:t xml:space="preserve"> </w:t>
      </w:r>
      <w:r w:rsidRPr="00B51CA0">
        <w:rPr>
          <w:rFonts w:ascii="Times New Roman" w:hAnsi="Times New Roman" w:cs="Times New Roman"/>
          <w:color w:val="242424"/>
          <w:sz w:val="24"/>
          <w:szCs w:val="24"/>
          <w:shd w:val="clear" w:color="auto" w:fill="FFFFFF"/>
        </w:rPr>
        <w:lastRenderedPageBreak/>
        <w:t xml:space="preserve">patvirtintus stacionare teikiamų </w:t>
      </w:r>
      <w:r w:rsidR="005008E6" w:rsidRPr="00B51CA0">
        <w:rPr>
          <w:rFonts w:ascii="Times New Roman" w:hAnsi="Times New Roman" w:cs="Times New Roman"/>
          <w:color w:val="242424"/>
          <w:sz w:val="24"/>
          <w:szCs w:val="24"/>
          <w:shd w:val="clear" w:color="auto" w:fill="FFFFFF"/>
        </w:rPr>
        <w:t>asmens sveikatos priežiūros</w:t>
      </w:r>
      <w:r w:rsidRPr="00B51CA0">
        <w:rPr>
          <w:rFonts w:ascii="Times New Roman" w:hAnsi="Times New Roman" w:cs="Times New Roman"/>
          <w:color w:val="242424"/>
          <w:sz w:val="24"/>
          <w:szCs w:val="24"/>
          <w:shd w:val="clear" w:color="auto" w:fill="FFFFFF"/>
        </w:rPr>
        <w:t xml:space="preserve"> paslaugų stebėsenos rodiklius ir klinikinio kodavimo taisykles vykdė duomenų apie stacionare teikiamas aktyviojo gydymo paslaugas stebėseną.</w:t>
      </w:r>
      <w:r w:rsidR="00FE7C27" w:rsidRPr="00B51CA0">
        <w:rPr>
          <w:rFonts w:ascii="Times New Roman" w:hAnsi="Times New Roman" w:cs="Times New Roman"/>
          <w:sz w:val="24"/>
          <w:szCs w:val="24"/>
        </w:rPr>
        <w:t xml:space="preserve"> </w:t>
      </w:r>
    </w:p>
    <w:p w14:paraId="57B35075" w14:textId="66468DEC" w:rsidR="000327CC" w:rsidRPr="00B51CA0" w:rsidRDefault="00D7326A" w:rsidP="00D35374">
      <w:pPr>
        <w:spacing w:after="0" w:line="240" w:lineRule="auto"/>
        <w:ind w:firstLine="851"/>
        <w:jc w:val="both"/>
        <w:rPr>
          <w:rFonts w:ascii="Times New Roman" w:hAnsi="Times New Roman" w:cs="Times New Roman"/>
          <w:sz w:val="24"/>
          <w:szCs w:val="24"/>
        </w:rPr>
      </w:pPr>
      <w:r w:rsidRPr="00B51CA0">
        <w:rPr>
          <w:rFonts w:ascii="Times New Roman" w:hAnsi="Times New Roman" w:cs="Times New Roman"/>
          <w:sz w:val="24"/>
          <w:szCs w:val="24"/>
        </w:rPr>
        <w:t>Vykd</w:t>
      </w:r>
      <w:r w:rsidR="0060479C" w:rsidRPr="00B51CA0">
        <w:rPr>
          <w:rFonts w:ascii="Times New Roman" w:hAnsi="Times New Roman" w:cs="Times New Roman"/>
          <w:sz w:val="24"/>
          <w:szCs w:val="24"/>
        </w:rPr>
        <w:t>ydamos</w:t>
      </w:r>
      <w:r w:rsidRPr="00B51CA0">
        <w:rPr>
          <w:rFonts w:ascii="Times New Roman" w:hAnsi="Times New Roman" w:cs="Times New Roman"/>
          <w:sz w:val="24"/>
          <w:szCs w:val="24"/>
        </w:rPr>
        <w:t xml:space="preserve"> </w:t>
      </w:r>
      <w:r w:rsidR="00E82F06" w:rsidRPr="00B51CA0">
        <w:rPr>
          <w:rFonts w:ascii="Times New Roman" w:hAnsi="Times New Roman" w:cs="Times New Roman"/>
          <w:sz w:val="24"/>
          <w:szCs w:val="24"/>
        </w:rPr>
        <w:t>ūkio subjektų</w:t>
      </w:r>
      <w:r w:rsidR="00C576CE" w:rsidRPr="00B51CA0">
        <w:rPr>
          <w:rFonts w:ascii="Times New Roman" w:hAnsi="Times New Roman" w:cs="Times New Roman"/>
          <w:sz w:val="24"/>
          <w:szCs w:val="24"/>
        </w:rPr>
        <w:t xml:space="preserve"> veiklos duomenų </w:t>
      </w:r>
      <w:r w:rsidRPr="00B51CA0">
        <w:rPr>
          <w:rFonts w:ascii="Times New Roman" w:hAnsi="Times New Roman" w:cs="Times New Roman"/>
          <w:sz w:val="24"/>
          <w:szCs w:val="24"/>
        </w:rPr>
        <w:t xml:space="preserve">stebėseną </w:t>
      </w:r>
      <w:r w:rsidR="0060479C" w:rsidRPr="00B51CA0">
        <w:rPr>
          <w:rFonts w:ascii="Times New Roman" w:hAnsi="Times New Roman" w:cs="Times New Roman"/>
          <w:sz w:val="24"/>
          <w:szCs w:val="24"/>
        </w:rPr>
        <w:t>IS</w:t>
      </w:r>
      <w:r w:rsidR="00D60CF3">
        <w:rPr>
          <w:rFonts w:ascii="Times New Roman" w:hAnsi="Times New Roman" w:cs="Times New Roman"/>
          <w:sz w:val="24"/>
          <w:szCs w:val="24"/>
        </w:rPr>
        <w:t> </w:t>
      </w:r>
      <w:r w:rsidRPr="00B51CA0">
        <w:rPr>
          <w:rFonts w:ascii="Times New Roman" w:hAnsi="Times New Roman" w:cs="Times New Roman"/>
          <w:sz w:val="24"/>
          <w:szCs w:val="24"/>
        </w:rPr>
        <w:t>„Sveidra“</w:t>
      </w:r>
      <w:r w:rsidR="0060479C" w:rsidRPr="00B51CA0">
        <w:rPr>
          <w:rFonts w:ascii="Times New Roman" w:hAnsi="Times New Roman" w:cs="Times New Roman"/>
          <w:sz w:val="24"/>
          <w:szCs w:val="24"/>
        </w:rPr>
        <w:t xml:space="preserve">, </w:t>
      </w:r>
      <w:r w:rsidR="00EE0EF1" w:rsidRPr="00B51CA0">
        <w:rPr>
          <w:rFonts w:ascii="Times New Roman" w:hAnsi="Times New Roman" w:cs="Times New Roman"/>
          <w:sz w:val="24"/>
          <w:szCs w:val="24"/>
        </w:rPr>
        <w:t>2024 </w:t>
      </w:r>
      <w:r w:rsidRPr="00B51CA0">
        <w:rPr>
          <w:rFonts w:ascii="Times New Roman" w:hAnsi="Times New Roman" w:cs="Times New Roman"/>
          <w:sz w:val="24"/>
          <w:szCs w:val="24"/>
        </w:rPr>
        <w:t xml:space="preserve">m. TLK </w:t>
      </w:r>
      <w:r w:rsidR="0060479C" w:rsidRPr="00B51CA0">
        <w:rPr>
          <w:rFonts w:ascii="Times New Roman" w:hAnsi="Times New Roman" w:cs="Times New Roman"/>
          <w:sz w:val="24"/>
          <w:szCs w:val="24"/>
        </w:rPr>
        <w:t xml:space="preserve">iš viso </w:t>
      </w:r>
      <w:r w:rsidRPr="00B51CA0">
        <w:rPr>
          <w:rFonts w:ascii="Times New Roman" w:hAnsi="Times New Roman" w:cs="Times New Roman"/>
          <w:sz w:val="24"/>
          <w:szCs w:val="24"/>
        </w:rPr>
        <w:t xml:space="preserve">peržiūrėjo </w:t>
      </w:r>
      <w:r w:rsidR="0033191C" w:rsidRPr="00B51CA0">
        <w:rPr>
          <w:rFonts w:ascii="Times New Roman" w:hAnsi="Times New Roman" w:cs="Times New Roman"/>
          <w:sz w:val="24"/>
          <w:szCs w:val="24"/>
        </w:rPr>
        <w:t xml:space="preserve">daugiau nei </w:t>
      </w:r>
      <w:r w:rsidR="00EE0EF1" w:rsidRPr="00B51CA0">
        <w:rPr>
          <w:rFonts w:ascii="Times New Roman" w:hAnsi="Times New Roman" w:cs="Times New Roman"/>
          <w:sz w:val="24"/>
          <w:szCs w:val="24"/>
        </w:rPr>
        <w:t>242</w:t>
      </w:r>
      <w:r w:rsidR="007A29D9" w:rsidRPr="00B51CA0">
        <w:rPr>
          <w:rFonts w:ascii="Times New Roman" w:hAnsi="Times New Roman" w:cs="Times New Roman"/>
          <w:sz w:val="24"/>
          <w:szCs w:val="24"/>
        </w:rPr>
        <w:t> </w:t>
      </w:r>
      <w:r w:rsidRPr="00B51CA0">
        <w:rPr>
          <w:rFonts w:ascii="Times New Roman" w:hAnsi="Times New Roman" w:cs="Times New Roman"/>
          <w:sz w:val="24"/>
          <w:szCs w:val="24"/>
        </w:rPr>
        <w:t>tūkst. formos Nr.</w:t>
      </w:r>
      <w:r w:rsidR="00882D4E" w:rsidRPr="00B51CA0">
        <w:rPr>
          <w:rFonts w:ascii="Times New Roman" w:hAnsi="Times New Roman" w:cs="Times New Roman"/>
          <w:sz w:val="24"/>
          <w:szCs w:val="24"/>
        </w:rPr>
        <w:t> </w:t>
      </w:r>
      <w:r w:rsidRPr="00B51CA0">
        <w:rPr>
          <w:rFonts w:ascii="Times New Roman" w:hAnsi="Times New Roman" w:cs="Times New Roman"/>
          <w:sz w:val="24"/>
          <w:szCs w:val="24"/>
        </w:rPr>
        <w:t>066/a-LK statistinių kortelių</w:t>
      </w:r>
      <w:r w:rsidR="00F07B73" w:rsidRPr="00B51CA0">
        <w:rPr>
          <w:rFonts w:ascii="Times New Roman" w:hAnsi="Times New Roman" w:cs="Times New Roman"/>
          <w:sz w:val="24"/>
          <w:szCs w:val="24"/>
        </w:rPr>
        <w:t xml:space="preserve"> (tai 13</w:t>
      </w:r>
      <w:r w:rsidR="00DF6FDB">
        <w:rPr>
          <w:rFonts w:ascii="Times New Roman" w:hAnsi="Times New Roman" w:cs="Times New Roman"/>
          <w:sz w:val="24"/>
          <w:szCs w:val="24"/>
        </w:rPr>
        <w:t>,6</w:t>
      </w:r>
      <w:r w:rsidR="00F07B73" w:rsidRPr="00B51CA0">
        <w:rPr>
          <w:rFonts w:ascii="Times New Roman" w:hAnsi="Times New Roman" w:cs="Times New Roman"/>
          <w:sz w:val="24"/>
          <w:szCs w:val="24"/>
        </w:rPr>
        <w:t> proc. daugiau nei 2023 m.)</w:t>
      </w:r>
      <w:r w:rsidRPr="00B51CA0">
        <w:rPr>
          <w:rFonts w:ascii="Times New Roman" w:hAnsi="Times New Roman" w:cs="Times New Roman"/>
          <w:sz w:val="24"/>
          <w:szCs w:val="24"/>
        </w:rPr>
        <w:t xml:space="preserve">, </w:t>
      </w:r>
      <w:r w:rsidRPr="00661D65">
        <w:rPr>
          <w:rFonts w:ascii="Times New Roman" w:hAnsi="Times New Roman" w:cs="Times New Roman"/>
          <w:sz w:val="24"/>
          <w:szCs w:val="24"/>
        </w:rPr>
        <w:t xml:space="preserve">iš jų </w:t>
      </w:r>
      <w:r w:rsidR="00DF6FDB" w:rsidRPr="00661D65">
        <w:rPr>
          <w:rFonts w:ascii="Times New Roman" w:hAnsi="Times New Roman" w:cs="Times New Roman"/>
          <w:sz w:val="24"/>
          <w:szCs w:val="24"/>
        </w:rPr>
        <w:t>24</w:t>
      </w:r>
      <w:r w:rsidR="00DF6FDB">
        <w:rPr>
          <w:rFonts w:ascii="Times New Roman" w:hAnsi="Times New Roman" w:cs="Times New Roman"/>
          <w:sz w:val="24"/>
          <w:szCs w:val="24"/>
        </w:rPr>
        <w:t>,6</w:t>
      </w:r>
      <w:r w:rsidR="00DF6FDB" w:rsidRPr="00661D65">
        <w:rPr>
          <w:rFonts w:ascii="Times New Roman" w:hAnsi="Times New Roman" w:cs="Times New Roman"/>
          <w:sz w:val="24"/>
          <w:szCs w:val="24"/>
        </w:rPr>
        <w:t xml:space="preserve"> tūkst. </w:t>
      </w:r>
      <w:r w:rsidR="00E82F06" w:rsidRPr="00B51CA0">
        <w:rPr>
          <w:rFonts w:ascii="Times New Roman" w:hAnsi="Times New Roman" w:cs="Times New Roman"/>
          <w:sz w:val="24"/>
          <w:szCs w:val="24"/>
        </w:rPr>
        <w:t>k</w:t>
      </w:r>
      <w:r w:rsidR="0060479C" w:rsidRPr="00B51CA0">
        <w:rPr>
          <w:rFonts w:ascii="Times New Roman" w:hAnsi="Times New Roman" w:cs="Times New Roman"/>
          <w:sz w:val="24"/>
          <w:szCs w:val="24"/>
        </w:rPr>
        <w:t>ortelių</w:t>
      </w:r>
      <w:r w:rsidR="00DF6FDB" w:rsidRPr="00661D65">
        <w:rPr>
          <w:rFonts w:ascii="Times New Roman" w:hAnsi="Times New Roman" w:cs="Times New Roman"/>
          <w:sz w:val="24"/>
          <w:szCs w:val="24"/>
        </w:rPr>
        <w:t xml:space="preserve"> </w:t>
      </w:r>
      <w:r w:rsidR="00BB14F9" w:rsidRPr="00661D65">
        <w:rPr>
          <w:rFonts w:ascii="Times New Roman" w:hAnsi="Times New Roman" w:cs="Times New Roman"/>
          <w:sz w:val="24"/>
          <w:szCs w:val="24"/>
        </w:rPr>
        <w:t>buvo patikslintos</w:t>
      </w:r>
      <w:r w:rsidR="0060479C" w:rsidRPr="00661D65">
        <w:rPr>
          <w:rFonts w:ascii="Times New Roman" w:hAnsi="Times New Roman" w:cs="Times New Roman"/>
          <w:sz w:val="24"/>
          <w:szCs w:val="24"/>
        </w:rPr>
        <w:t>.</w:t>
      </w:r>
      <w:r w:rsidR="0060479C" w:rsidRPr="00B51CA0">
        <w:rPr>
          <w:rFonts w:ascii="Times New Roman" w:hAnsi="Times New Roman" w:cs="Times New Roman"/>
          <w:sz w:val="24"/>
          <w:szCs w:val="24"/>
        </w:rPr>
        <w:t xml:space="preserve"> </w:t>
      </w:r>
      <w:r w:rsidRPr="00B51CA0">
        <w:rPr>
          <w:rFonts w:ascii="Times New Roman" w:hAnsi="Times New Roman" w:cs="Times New Roman"/>
          <w:sz w:val="24"/>
          <w:szCs w:val="24"/>
        </w:rPr>
        <w:t xml:space="preserve">Taip pat buvo peržiūrėta </w:t>
      </w:r>
      <w:r w:rsidR="00C135C3" w:rsidRPr="00661D65">
        <w:rPr>
          <w:rFonts w:ascii="Times New Roman" w:hAnsi="Times New Roman" w:cs="Times New Roman"/>
          <w:sz w:val="24"/>
          <w:szCs w:val="24"/>
        </w:rPr>
        <w:t>8</w:t>
      </w:r>
      <w:r w:rsidR="00DF6FDB">
        <w:rPr>
          <w:rFonts w:ascii="Times New Roman" w:hAnsi="Times New Roman" w:cs="Times New Roman"/>
          <w:sz w:val="24"/>
          <w:szCs w:val="24"/>
        </w:rPr>
        <w:t>4,8</w:t>
      </w:r>
      <w:r w:rsidR="007A29D9" w:rsidRPr="00B51CA0">
        <w:rPr>
          <w:rFonts w:ascii="Times New Roman" w:hAnsi="Times New Roman" w:cs="Times New Roman"/>
          <w:sz w:val="24"/>
          <w:szCs w:val="24"/>
        </w:rPr>
        <w:t> </w:t>
      </w:r>
      <w:r w:rsidRPr="00B51CA0">
        <w:rPr>
          <w:rFonts w:ascii="Times New Roman" w:hAnsi="Times New Roman" w:cs="Times New Roman"/>
          <w:sz w:val="24"/>
          <w:szCs w:val="24"/>
        </w:rPr>
        <w:t>tūkst. formos Nr.</w:t>
      </w:r>
      <w:r w:rsidR="00882D4E" w:rsidRPr="00B51CA0">
        <w:rPr>
          <w:rFonts w:ascii="Times New Roman" w:hAnsi="Times New Roman" w:cs="Times New Roman"/>
          <w:sz w:val="24"/>
          <w:szCs w:val="24"/>
        </w:rPr>
        <w:t> </w:t>
      </w:r>
      <w:r w:rsidRPr="00B51CA0">
        <w:rPr>
          <w:rFonts w:ascii="Times New Roman" w:hAnsi="Times New Roman" w:cs="Times New Roman"/>
          <w:sz w:val="24"/>
          <w:szCs w:val="24"/>
        </w:rPr>
        <w:t>025/a-LK statistinių kortelių</w:t>
      </w:r>
      <w:r w:rsidR="000B56A0" w:rsidRPr="00B51CA0">
        <w:rPr>
          <w:rFonts w:ascii="Times New Roman" w:hAnsi="Times New Roman" w:cs="Times New Roman"/>
          <w:sz w:val="24"/>
          <w:szCs w:val="24"/>
        </w:rPr>
        <w:t xml:space="preserve"> (tai 41</w:t>
      </w:r>
      <w:r w:rsidR="00E56F9A">
        <w:rPr>
          <w:rFonts w:ascii="Times New Roman" w:hAnsi="Times New Roman" w:cs="Times New Roman"/>
          <w:sz w:val="24"/>
          <w:szCs w:val="24"/>
        </w:rPr>
        <w:t>,3</w:t>
      </w:r>
      <w:r w:rsidR="000B56A0" w:rsidRPr="00B51CA0">
        <w:rPr>
          <w:rFonts w:ascii="Times New Roman" w:hAnsi="Times New Roman" w:cs="Times New Roman"/>
          <w:sz w:val="24"/>
          <w:szCs w:val="24"/>
        </w:rPr>
        <w:t> proc. daugiau nei 2023 m.)</w:t>
      </w:r>
      <w:r w:rsidR="00BB5C73" w:rsidRPr="00B51CA0">
        <w:rPr>
          <w:rFonts w:ascii="Times New Roman" w:hAnsi="Times New Roman" w:cs="Times New Roman"/>
          <w:sz w:val="24"/>
          <w:szCs w:val="24"/>
        </w:rPr>
        <w:t xml:space="preserve">. </w:t>
      </w:r>
      <w:r w:rsidR="00C135C3" w:rsidRPr="00B51CA0">
        <w:rPr>
          <w:rFonts w:ascii="Times New Roman" w:hAnsi="Times New Roman" w:cs="Times New Roman"/>
          <w:sz w:val="24"/>
          <w:szCs w:val="24"/>
        </w:rPr>
        <w:t>Daugiau kaip 112</w:t>
      </w:r>
      <w:r w:rsidR="007A29D9" w:rsidRPr="00B51CA0">
        <w:rPr>
          <w:rFonts w:ascii="Times New Roman" w:hAnsi="Times New Roman" w:cs="Times New Roman"/>
          <w:sz w:val="24"/>
          <w:szCs w:val="24"/>
        </w:rPr>
        <w:t> </w:t>
      </w:r>
      <w:r w:rsidRPr="00B51CA0">
        <w:rPr>
          <w:rFonts w:ascii="Times New Roman" w:hAnsi="Times New Roman" w:cs="Times New Roman"/>
          <w:sz w:val="24"/>
          <w:szCs w:val="24"/>
        </w:rPr>
        <w:t xml:space="preserve">tūkst. statistinių kortelių </w:t>
      </w:r>
      <w:r w:rsidR="005F69EE" w:rsidRPr="00B51CA0">
        <w:rPr>
          <w:rFonts w:ascii="Times New Roman" w:hAnsi="Times New Roman" w:cs="Times New Roman"/>
          <w:sz w:val="24"/>
          <w:szCs w:val="24"/>
        </w:rPr>
        <w:t>ASPĮ</w:t>
      </w:r>
      <w:r w:rsidRPr="00B51CA0">
        <w:rPr>
          <w:rFonts w:ascii="Times New Roman" w:hAnsi="Times New Roman" w:cs="Times New Roman"/>
          <w:sz w:val="24"/>
          <w:szCs w:val="24"/>
        </w:rPr>
        <w:t xml:space="preserve"> turėjo patikslinti</w:t>
      </w:r>
      <w:r w:rsidR="005F69EE" w:rsidRPr="00B51CA0">
        <w:rPr>
          <w:rFonts w:ascii="Times New Roman" w:hAnsi="Times New Roman" w:cs="Times New Roman"/>
          <w:sz w:val="24"/>
          <w:szCs w:val="24"/>
        </w:rPr>
        <w:t xml:space="preserve"> (</w:t>
      </w:r>
      <w:r w:rsidR="00FF4143" w:rsidRPr="00B51CA0">
        <w:rPr>
          <w:rFonts w:ascii="Times New Roman" w:hAnsi="Times New Roman" w:cs="Times New Roman"/>
          <w:sz w:val="24"/>
          <w:szCs w:val="24"/>
        </w:rPr>
        <w:t xml:space="preserve">iš kurių </w:t>
      </w:r>
      <w:r w:rsidR="00FF4143" w:rsidRPr="00661D65">
        <w:rPr>
          <w:rFonts w:ascii="Times New Roman" w:hAnsi="Times New Roman" w:cs="Times New Roman"/>
          <w:sz w:val="24"/>
          <w:szCs w:val="24"/>
        </w:rPr>
        <w:t xml:space="preserve">nemažą </w:t>
      </w:r>
      <w:r w:rsidR="00FA2C6B" w:rsidRPr="00661D65">
        <w:rPr>
          <w:rFonts w:ascii="Times New Roman" w:hAnsi="Times New Roman" w:cs="Times New Roman"/>
          <w:sz w:val="24"/>
          <w:szCs w:val="24"/>
        </w:rPr>
        <w:t>dalį</w:t>
      </w:r>
      <w:r w:rsidR="00FA2C6B" w:rsidRPr="00B51CA0">
        <w:rPr>
          <w:rFonts w:ascii="Times New Roman" w:hAnsi="Times New Roman" w:cs="Times New Roman"/>
          <w:sz w:val="24"/>
          <w:szCs w:val="24"/>
        </w:rPr>
        <w:t xml:space="preserve"> statistinių kortelių netikslumų pastebėjo </w:t>
      </w:r>
      <w:r w:rsidR="005F69EE" w:rsidRPr="00B51CA0">
        <w:rPr>
          <w:rFonts w:ascii="Times New Roman" w:hAnsi="Times New Roman" w:cs="Times New Roman"/>
          <w:sz w:val="24"/>
          <w:szCs w:val="24"/>
        </w:rPr>
        <w:t>pači</w:t>
      </w:r>
      <w:r w:rsidR="00FA2C6B" w:rsidRPr="00B51CA0">
        <w:rPr>
          <w:rFonts w:ascii="Times New Roman" w:hAnsi="Times New Roman" w:cs="Times New Roman"/>
          <w:sz w:val="24"/>
          <w:szCs w:val="24"/>
        </w:rPr>
        <w:t>os</w:t>
      </w:r>
      <w:r w:rsidR="005F69EE" w:rsidRPr="00B51CA0">
        <w:rPr>
          <w:rFonts w:ascii="Times New Roman" w:hAnsi="Times New Roman" w:cs="Times New Roman"/>
          <w:sz w:val="24"/>
          <w:szCs w:val="24"/>
        </w:rPr>
        <w:t xml:space="preserve"> ASPĮ). B</w:t>
      </w:r>
      <w:r w:rsidRPr="00B51CA0">
        <w:rPr>
          <w:rFonts w:ascii="Times New Roman" w:hAnsi="Times New Roman" w:cs="Times New Roman"/>
          <w:sz w:val="24"/>
          <w:szCs w:val="24"/>
        </w:rPr>
        <w:t xml:space="preserve">endros sumos, apskaičiuotos pagal neteisingus ūkio subjektų pateiktų statistinių kortelių duomenis apie suteiktas </w:t>
      </w:r>
      <w:r w:rsidR="005F69EE" w:rsidRPr="00B51CA0">
        <w:rPr>
          <w:rFonts w:ascii="Times New Roman" w:hAnsi="Times New Roman" w:cs="Times New Roman"/>
          <w:sz w:val="24"/>
          <w:szCs w:val="24"/>
        </w:rPr>
        <w:t>sveikatos priežiūros</w:t>
      </w:r>
      <w:r w:rsidRPr="00B51CA0">
        <w:rPr>
          <w:rFonts w:ascii="Times New Roman" w:hAnsi="Times New Roman" w:cs="Times New Roman"/>
          <w:sz w:val="24"/>
          <w:szCs w:val="24"/>
        </w:rPr>
        <w:t xml:space="preserve"> paslaugas, ir sumos, sumokėtos </w:t>
      </w:r>
      <w:r w:rsidR="005F69EE" w:rsidRPr="00B51CA0">
        <w:rPr>
          <w:rFonts w:ascii="Times New Roman" w:hAnsi="Times New Roman" w:cs="Times New Roman"/>
          <w:sz w:val="24"/>
          <w:szCs w:val="24"/>
        </w:rPr>
        <w:t xml:space="preserve">šioms </w:t>
      </w:r>
      <w:r w:rsidRPr="00B51CA0">
        <w:rPr>
          <w:rFonts w:ascii="Times New Roman" w:hAnsi="Times New Roman" w:cs="Times New Roman"/>
          <w:sz w:val="24"/>
          <w:szCs w:val="24"/>
        </w:rPr>
        <w:t xml:space="preserve">įstaigoms už paslaugas po statistinių kortelių patikslinimo, </w:t>
      </w:r>
      <w:r w:rsidR="005F69EE" w:rsidRPr="00B51CA0">
        <w:rPr>
          <w:rFonts w:ascii="Times New Roman" w:hAnsi="Times New Roman" w:cs="Times New Roman"/>
          <w:sz w:val="24"/>
          <w:szCs w:val="24"/>
        </w:rPr>
        <w:t xml:space="preserve">skirtumas </w:t>
      </w:r>
      <w:r w:rsidRPr="00B51CA0">
        <w:rPr>
          <w:rFonts w:ascii="Times New Roman" w:hAnsi="Times New Roman" w:cs="Times New Roman"/>
          <w:sz w:val="24"/>
          <w:szCs w:val="24"/>
        </w:rPr>
        <w:t xml:space="preserve">faktiškai sudarė daugiau kaip </w:t>
      </w:r>
      <w:r w:rsidR="00644827" w:rsidRPr="00B51CA0">
        <w:rPr>
          <w:rFonts w:ascii="Times New Roman" w:hAnsi="Times New Roman" w:cs="Times New Roman"/>
          <w:sz w:val="24"/>
          <w:szCs w:val="24"/>
        </w:rPr>
        <w:t>6</w:t>
      </w:r>
      <w:r w:rsidR="000B56A0" w:rsidRPr="00B51CA0">
        <w:rPr>
          <w:rFonts w:ascii="Times New Roman" w:hAnsi="Times New Roman" w:cs="Times New Roman"/>
          <w:sz w:val="24"/>
          <w:szCs w:val="24"/>
        </w:rPr>
        <w:t> </w:t>
      </w:r>
      <w:r w:rsidR="00644827" w:rsidRPr="00B51CA0">
        <w:rPr>
          <w:rFonts w:ascii="Times New Roman" w:hAnsi="Times New Roman" w:cs="Times New Roman"/>
          <w:sz w:val="24"/>
          <w:szCs w:val="24"/>
        </w:rPr>
        <w:t>039</w:t>
      </w:r>
      <w:r w:rsidR="000B56A0" w:rsidRPr="00B51CA0">
        <w:rPr>
          <w:rFonts w:ascii="Times New Roman" w:hAnsi="Times New Roman" w:cs="Times New Roman"/>
          <w:sz w:val="24"/>
          <w:szCs w:val="24"/>
        </w:rPr>
        <w:t> </w:t>
      </w:r>
      <w:r w:rsidRPr="00B51CA0">
        <w:rPr>
          <w:rFonts w:ascii="Times New Roman" w:hAnsi="Times New Roman" w:cs="Times New Roman"/>
          <w:sz w:val="24"/>
          <w:szCs w:val="24"/>
        </w:rPr>
        <w:t xml:space="preserve">tūkst. Eur. </w:t>
      </w:r>
      <w:r w:rsidR="005F69EE" w:rsidRPr="00B51CA0">
        <w:rPr>
          <w:rFonts w:ascii="Times New Roman" w:hAnsi="Times New Roman" w:cs="Times New Roman"/>
          <w:sz w:val="24"/>
          <w:szCs w:val="24"/>
        </w:rPr>
        <w:t xml:space="preserve">Palyginti </w:t>
      </w:r>
      <w:r w:rsidR="00820B76" w:rsidRPr="00B51CA0">
        <w:rPr>
          <w:rFonts w:ascii="Times New Roman" w:hAnsi="Times New Roman" w:cs="Times New Roman"/>
          <w:sz w:val="24"/>
          <w:szCs w:val="24"/>
        </w:rPr>
        <w:t xml:space="preserve">su </w:t>
      </w:r>
      <w:r w:rsidR="000327CC" w:rsidRPr="00B51CA0">
        <w:rPr>
          <w:rFonts w:ascii="Times New Roman" w:hAnsi="Times New Roman" w:cs="Times New Roman"/>
          <w:sz w:val="24"/>
          <w:szCs w:val="24"/>
        </w:rPr>
        <w:t>2023 </w:t>
      </w:r>
      <w:r w:rsidR="003C0EEF" w:rsidRPr="00B51CA0">
        <w:rPr>
          <w:rFonts w:ascii="Times New Roman" w:hAnsi="Times New Roman" w:cs="Times New Roman"/>
          <w:sz w:val="24"/>
          <w:szCs w:val="24"/>
        </w:rPr>
        <w:t>m.</w:t>
      </w:r>
      <w:r w:rsidR="005F69EE" w:rsidRPr="00B51CA0">
        <w:rPr>
          <w:rFonts w:ascii="Times New Roman" w:hAnsi="Times New Roman" w:cs="Times New Roman"/>
          <w:sz w:val="24"/>
          <w:szCs w:val="24"/>
        </w:rPr>
        <w:t>,</w:t>
      </w:r>
      <w:r w:rsidR="003C0EEF" w:rsidRPr="00B51CA0">
        <w:rPr>
          <w:rFonts w:ascii="Times New Roman" w:hAnsi="Times New Roman" w:cs="Times New Roman"/>
          <w:sz w:val="24"/>
          <w:szCs w:val="24"/>
        </w:rPr>
        <w:t xml:space="preserve"> </w:t>
      </w:r>
      <w:r w:rsidR="00F57A49" w:rsidRPr="00B51CA0">
        <w:rPr>
          <w:rFonts w:ascii="Times New Roman" w:hAnsi="Times New Roman" w:cs="Times New Roman"/>
          <w:sz w:val="24"/>
          <w:szCs w:val="24"/>
        </w:rPr>
        <w:t xml:space="preserve">išvengta </w:t>
      </w:r>
      <w:r w:rsidR="0074285E" w:rsidRPr="00B51CA0">
        <w:rPr>
          <w:rFonts w:ascii="Times New Roman" w:hAnsi="Times New Roman" w:cs="Times New Roman"/>
          <w:sz w:val="24"/>
          <w:szCs w:val="24"/>
        </w:rPr>
        <w:t>žal</w:t>
      </w:r>
      <w:r w:rsidR="00F57A49" w:rsidRPr="00B51CA0">
        <w:rPr>
          <w:rFonts w:ascii="Times New Roman" w:hAnsi="Times New Roman" w:cs="Times New Roman"/>
          <w:sz w:val="24"/>
          <w:szCs w:val="24"/>
        </w:rPr>
        <w:t>a</w:t>
      </w:r>
      <w:r w:rsidR="0074285E" w:rsidRPr="00B51CA0">
        <w:rPr>
          <w:rFonts w:ascii="Times New Roman" w:hAnsi="Times New Roman" w:cs="Times New Roman"/>
          <w:sz w:val="24"/>
          <w:szCs w:val="24"/>
        </w:rPr>
        <w:t xml:space="preserve"> </w:t>
      </w:r>
      <w:r w:rsidR="00820B76" w:rsidRPr="00B51CA0">
        <w:rPr>
          <w:rFonts w:ascii="Times New Roman" w:hAnsi="Times New Roman" w:cs="Times New Roman"/>
          <w:sz w:val="24"/>
          <w:szCs w:val="24"/>
        </w:rPr>
        <w:t xml:space="preserve">PSDF biudžetui </w:t>
      </w:r>
      <w:r w:rsidR="000327CC" w:rsidRPr="00B51CA0">
        <w:rPr>
          <w:rFonts w:ascii="Times New Roman" w:hAnsi="Times New Roman" w:cs="Times New Roman"/>
          <w:sz w:val="24"/>
          <w:szCs w:val="24"/>
        </w:rPr>
        <w:t>2024 </w:t>
      </w:r>
      <w:r w:rsidR="0014765C" w:rsidRPr="00B51CA0">
        <w:rPr>
          <w:rFonts w:ascii="Times New Roman" w:hAnsi="Times New Roman" w:cs="Times New Roman"/>
          <w:sz w:val="24"/>
          <w:szCs w:val="24"/>
        </w:rPr>
        <w:t xml:space="preserve">m. </w:t>
      </w:r>
      <w:r w:rsidR="0074285E" w:rsidRPr="00B51CA0">
        <w:rPr>
          <w:rFonts w:ascii="Times New Roman" w:hAnsi="Times New Roman" w:cs="Times New Roman"/>
          <w:sz w:val="24"/>
          <w:szCs w:val="24"/>
        </w:rPr>
        <w:t xml:space="preserve">buvo </w:t>
      </w:r>
      <w:r w:rsidR="00974F56">
        <w:rPr>
          <w:rFonts w:ascii="Times New Roman" w:hAnsi="Times New Roman" w:cs="Times New Roman"/>
          <w:sz w:val="24"/>
          <w:szCs w:val="24"/>
        </w:rPr>
        <w:t xml:space="preserve">daugiau nei </w:t>
      </w:r>
      <w:r w:rsidR="000327CC" w:rsidRPr="00B51CA0">
        <w:rPr>
          <w:rFonts w:ascii="Times New Roman" w:hAnsi="Times New Roman" w:cs="Times New Roman"/>
          <w:sz w:val="24"/>
          <w:szCs w:val="24"/>
        </w:rPr>
        <w:t>2 kartus</w:t>
      </w:r>
      <w:r w:rsidR="00820B76" w:rsidRPr="00B51CA0">
        <w:rPr>
          <w:rFonts w:ascii="Times New Roman" w:hAnsi="Times New Roman" w:cs="Times New Roman"/>
          <w:sz w:val="24"/>
          <w:szCs w:val="24"/>
        </w:rPr>
        <w:t xml:space="preserve"> </w:t>
      </w:r>
      <w:r w:rsidR="0074285E" w:rsidRPr="00B51CA0">
        <w:rPr>
          <w:rFonts w:ascii="Times New Roman" w:hAnsi="Times New Roman" w:cs="Times New Roman"/>
          <w:sz w:val="24"/>
          <w:szCs w:val="24"/>
        </w:rPr>
        <w:t>didesn</w:t>
      </w:r>
      <w:r w:rsidR="00F57A49" w:rsidRPr="00B51CA0">
        <w:rPr>
          <w:rFonts w:ascii="Times New Roman" w:hAnsi="Times New Roman" w:cs="Times New Roman"/>
          <w:sz w:val="24"/>
          <w:szCs w:val="24"/>
        </w:rPr>
        <w:t>ė</w:t>
      </w:r>
      <w:r w:rsidR="0074285E" w:rsidRPr="00B51CA0">
        <w:rPr>
          <w:rFonts w:ascii="Times New Roman" w:hAnsi="Times New Roman" w:cs="Times New Roman"/>
          <w:sz w:val="24"/>
          <w:szCs w:val="24"/>
        </w:rPr>
        <w:t xml:space="preserve"> </w:t>
      </w:r>
      <w:r w:rsidR="006B29C1" w:rsidRPr="00B51CA0">
        <w:rPr>
          <w:rFonts w:ascii="Times New Roman" w:hAnsi="Times New Roman" w:cs="Times New Roman"/>
          <w:sz w:val="24"/>
          <w:szCs w:val="24"/>
        </w:rPr>
        <w:t>(202</w:t>
      </w:r>
      <w:r w:rsidR="000327CC" w:rsidRPr="00B51CA0">
        <w:rPr>
          <w:rFonts w:ascii="Times New Roman" w:hAnsi="Times New Roman" w:cs="Times New Roman"/>
          <w:sz w:val="24"/>
          <w:szCs w:val="24"/>
        </w:rPr>
        <w:t>3</w:t>
      </w:r>
      <w:r w:rsidR="004B275C" w:rsidRPr="00B51CA0">
        <w:rPr>
          <w:rFonts w:ascii="Times New Roman" w:hAnsi="Times New Roman" w:cs="Times New Roman"/>
          <w:sz w:val="24"/>
          <w:szCs w:val="24"/>
        </w:rPr>
        <w:t> </w:t>
      </w:r>
      <w:r w:rsidR="006B29C1" w:rsidRPr="00B51CA0">
        <w:rPr>
          <w:rFonts w:ascii="Times New Roman" w:hAnsi="Times New Roman" w:cs="Times New Roman"/>
          <w:sz w:val="24"/>
          <w:szCs w:val="24"/>
        </w:rPr>
        <w:t xml:space="preserve">m. buvo </w:t>
      </w:r>
      <w:r w:rsidR="0074285E" w:rsidRPr="00B51CA0">
        <w:rPr>
          <w:rFonts w:ascii="Times New Roman" w:hAnsi="Times New Roman" w:cs="Times New Roman"/>
          <w:sz w:val="24"/>
          <w:szCs w:val="24"/>
        </w:rPr>
        <w:t xml:space="preserve">išvengta </w:t>
      </w:r>
      <w:r w:rsidR="000327CC" w:rsidRPr="00B51CA0">
        <w:rPr>
          <w:rFonts w:ascii="Times New Roman" w:hAnsi="Times New Roman" w:cs="Times New Roman"/>
          <w:sz w:val="24"/>
          <w:szCs w:val="24"/>
        </w:rPr>
        <w:t>2 829</w:t>
      </w:r>
      <w:r w:rsidR="00D60CF3">
        <w:rPr>
          <w:rFonts w:ascii="Times New Roman" w:hAnsi="Times New Roman" w:cs="Times New Roman"/>
          <w:sz w:val="24"/>
          <w:szCs w:val="24"/>
        </w:rPr>
        <w:t> </w:t>
      </w:r>
      <w:r w:rsidR="0014765C" w:rsidRPr="00B51CA0">
        <w:rPr>
          <w:rFonts w:ascii="Times New Roman" w:hAnsi="Times New Roman" w:cs="Times New Roman"/>
          <w:sz w:val="24"/>
          <w:szCs w:val="24"/>
        </w:rPr>
        <w:t>t</w:t>
      </w:r>
      <w:r w:rsidR="006B29C1" w:rsidRPr="00B51CA0">
        <w:rPr>
          <w:rFonts w:ascii="Times New Roman" w:hAnsi="Times New Roman" w:cs="Times New Roman"/>
          <w:sz w:val="24"/>
          <w:szCs w:val="24"/>
        </w:rPr>
        <w:t>ūkst. Eur</w:t>
      </w:r>
      <w:r w:rsidR="0074285E" w:rsidRPr="00B51CA0">
        <w:rPr>
          <w:rFonts w:ascii="Times New Roman" w:hAnsi="Times New Roman" w:cs="Times New Roman"/>
          <w:sz w:val="24"/>
          <w:szCs w:val="24"/>
        </w:rPr>
        <w:t xml:space="preserve"> žalos</w:t>
      </w:r>
      <w:r w:rsidR="006B29C1" w:rsidRPr="00B51CA0">
        <w:rPr>
          <w:rFonts w:ascii="Times New Roman" w:hAnsi="Times New Roman" w:cs="Times New Roman"/>
          <w:sz w:val="24"/>
          <w:szCs w:val="24"/>
        </w:rPr>
        <w:t>)</w:t>
      </w:r>
      <w:r w:rsidR="0074285E" w:rsidRPr="00B51CA0">
        <w:rPr>
          <w:rFonts w:ascii="Times New Roman" w:hAnsi="Times New Roman" w:cs="Times New Roman"/>
          <w:sz w:val="24"/>
          <w:szCs w:val="24"/>
        </w:rPr>
        <w:t>.</w:t>
      </w:r>
    </w:p>
    <w:p w14:paraId="3FEBD972" w14:textId="207A9272" w:rsidR="00561625" w:rsidRPr="00B51CA0" w:rsidRDefault="00FA4501" w:rsidP="00D35374">
      <w:pPr>
        <w:spacing w:after="0" w:line="240" w:lineRule="auto"/>
        <w:ind w:firstLine="851"/>
        <w:jc w:val="both"/>
        <w:rPr>
          <w:rFonts w:ascii="Times New Roman" w:hAnsi="Times New Roman" w:cs="Times New Roman"/>
          <w:sz w:val="24"/>
          <w:szCs w:val="24"/>
          <w:lang w:eastAsia="lt-LT"/>
        </w:rPr>
      </w:pPr>
      <w:r w:rsidRPr="00B51CA0">
        <w:rPr>
          <w:rFonts w:ascii="Times New Roman" w:hAnsi="Times New Roman" w:cs="Times New Roman"/>
          <w:sz w:val="24"/>
          <w:szCs w:val="24"/>
          <w:lang w:eastAsia="lt-LT"/>
        </w:rPr>
        <w:t>Klaidingai užpildytų statistinių kortelių atrinkimas, atliekant stebėseną</w:t>
      </w:r>
      <w:r w:rsidR="00D02989" w:rsidRPr="00B51CA0">
        <w:rPr>
          <w:rFonts w:ascii="Times New Roman" w:hAnsi="Times New Roman" w:cs="Times New Roman"/>
          <w:sz w:val="24"/>
          <w:szCs w:val="24"/>
          <w:lang w:eastAsia="lt-LT"/>
        </w:rPr>
        <w:t>,</w:t>
      </w:r>
      <w:r w:rsidRPr="00B51CA0">
        <w:rPr>
          <w:rFonts w:ascii="Times New Roman" w:hAnsi="Times New Roman" w:cs="Times New Roman"/>
          <w:sz w:val="24"/>
          <w:szCs w:val="24"/>
          <w:lang w:eastAsia="lt-LT"/>
        </w:rPr>
        <w:t xml:space="preserve"> ir jų tikslinimas –</w:t>
      </w:r>
      <w:r w:rsidR="00672553" w:rsidRPr="00B51CA0">
        <w:rPr>
          <w:rFonts w:ascii="Times New Roman" w:hAnsi="Times New Roman" w:cs="Times New Roman"/>
          <w:sz w:val="24"/>
          <w:szCs w:val="24"/>
          <w:lang w:eastAsia="lt-LT"/>
        </w:rPr>
        <w:t xml:space="preserve"> </w:t>
      </w:r>
      <w:r w:rsidRPr="00B51CA0">
        <w:rPr>
          <w:rFonts w:ascii="Times New Roman" w:hAnsi="Times New Roman" w:cs="Times New Roman"/>
          <w:sz w:val="24"/>
          <w:szCs w:val="24"/>
          <w:lang w:eastAsia="lt-LT"/>
        </w:rPr>
        <w:t xml:space="preserve">vertinga praktika tiek TLK, tiek ūkio subjektams. PSDF biudžetui nepadaroma žala, o ūkio subjektas išvengia nuostolių, kuriuos būtų patyręs, jei tektų atlyginti padarytą žalą. </w:t>
      </w:r>
      <w:r w:rsidR="003C0EEF" w:rsidRPr="00B51CA0">
        <w:rPr>
          <w:rFonts w:ascii="Times New Roman" w:hAnsi="Times New Roman" w:cs="Times New Roman"/>
          <w:sz w:val="24"/>
          <w:szCs w:val="24"/>
        </w:rPr>
        <w:t xml:space="preserve">Stebėsenos duomenų pagrindu </w:t>
      </w:r>
      <w:r w:rsidR="000B56A0" w:rsidRPr="00B51CA0">
        <w:rPr>
          <w:rFonts w:ascii="Times New Roman" w:hAnsi="Times New Roman" w:cs="Times New Roman"/>
          <w:sz w:val="24"/>
          <w:szCs w:val="24"/>
        </w:rPr>
        <w:t xml:space="preserve">2024 metais </w:t>
      </w:r>
      <w:r w:rsidR="003C0EEF" w:rsidRPr="00B51CA0">
        <w:rPr>
          <w:rFonts w:ascii="Times New Roman" w:hAnsi="Times New Roman" w:cs="Times New Roman"/>
          <w:sz w:val="24"/>
          <w:szCs w:val="24"/>
        </w:rPr>
        <w:t xml:space="preserve">TLK inicijavo </w:t>
      </w:r>
      <w:r w:rsidR="00D555CD" w:rsidRPr="00B51CA0">
        <w:rPr>
          <w:rFonts w:ascii="Times New Roman" w:hAnsi="Times New Roman" w:cs="Times New Roman"/>
          <w:sz w:val="24"/>
          <w:szCs w:val="24"/>
        </w:rPr>
        <w:t xml:space="preserve">171 </w:t>
      </w:r>
      <w:r w:rsidR="000B56A0" w:rsidRPr="00B51CA0">
        <w:rPr>
          <w:rFonts w:ascii="Times New Roman" w:hAnsi="Times New Roman" w:cs="Times New Roman"/>
          <w:sz w:val="24"/>
          <w:szCs w:val="24"/>
        </w:rPr>
        <w:t>planin</w:t>
      </w:r>
      <w:r w:rsidR="00974F56">
        <w:rPr>
          <w:rFonts w:ascii="Times New Roman" w:hAnsi="Times New Roman" w:cs="Times New Roman"/>
          <w:sz w:val="24"/>
          <w:szCs w:val="24"/>
        </w:rPr>
        <w:t>ę</w:t>
      </w:r>
      <w:r w:rsidR="000B56A0" w:rsidRPr="00B51CA0">
        <w:rPr>
          <w:rFonts w:ascii="Times New Roman" w:hAnsi="Times New Roman" w:cs="Times New Roman"/>
          <w:sz w:val="24"/>
          <w:szCs w:val="24"/>
        </w:rPr>
        <w:t xml:space="preserve"> </w:t>
      </w:r>
      <w:r w:rsidR="003C0EEF" w:rsidRPr="00B51CA0">
        <w:rPr>
          <w:rFonts w:ascii="Times New Roman" w:hAnsi="Times New Roman" w:cs="Times New Roman"/>
          <w:sz w:val="24"/>
          <w:szCs w:val="24"/>
        </w:rPr>
        <w:t xml:space="preserve">kontrolės </w:t>
      </w:r>
      <w:r w:rsidR="000B56A0" w:rsidRPr="00B51CA0">
        <w:rPr>
          <w:rFonts w:ascii="Times New Roman" w:hAnsi="Times New Roman" w:cs="Times New Roman"/>
          <w:sz w:val="24"/>
          <w:szCs w:val="24"/>
        </w:rPr>
        <w:t>procedūr</w:t>
      </w:r>
      <w:r w:rsidR="00974F56">
        <w:rPr>
          <w:rFonts w:ascii="Times New Roman" w:hAnsi="Times New Roman" w:cs="Times New Roman"/>
          <w:sz w:val="24"/>
          <w:szCs w:val="24"/>
        </w:rPr>
        <w:t>ą</w:t>
      </w:r>
      <w:r w:rsidR="00BB14F9" w:rsidRPr="00B51CA0">
        <w:rPr>
          <w:rFonts w:ascii="Times New Roman" w:hAnsi="Times New Roman" w:cs="Times New Roman"/>
          <w:sz w:val="24"/>
          <w:szCs w:val="24"/>
        </w:rPr>
        <w:t xml:space="preserve">, </w:t>
      </w:r>
      <w:r w:rsidR="004966EC" w:rsidRPr="00B51CA0">
        <w:rPr>
          <w:rFonts w:ascii="Times New Roman" w:hAnsi="Times New Roman" w:cs="Times New Roman"/>
          <w:sz w:val="24"/>
          <w:szCs w:val="24"/>
        </w:rPr>
        <w:t xml:space="preserve">šių procedūrų </w:t>
      </w:r>
      <w:r w:rsidR="006B29C1" w:rsidRPr="00B51CA0">
        <w:rPr>
          <w:rFonts w:ascii="Times New Roman" w:hAnsi="Times New Roman" w:cs="Times New Roman"/>
          <w:sz w:val="24"/>
          <w:szCs w:val="24"/>
        </w:rPr>
        <w:t xml:space="preserve">skaičius </w:t>
      </w:r>
      <w:r w:rsidR="00D555CD" w:rsidRPr="00B51CA0">
        <w:rPr>
          <w:rFonts w:ascii="Times New Roman" w:hAnsi="Times New Roman" w:cs="Times New Roman"/>
          <w:sz w:val="24"/>
          <w:szCs w:val="24"/>
        </w:rPr>
        <w:t>išaugo 15,</w:t>
      </w:r>
      <w:r w:rsidR="000B56A0" w:rsidRPr="00661D65">
        <w:rPr>
          <w:rFonts w:ascii="Times New Roman" w:hAnsi="Times New Roman" w:cs="Times New Roman"/>
          <w:sz w:val="24"/>
          <w:szCs w:val="24"/>
        </w:rPr>
        <w:t>5</w:t>
      </w:r>
      <w:r w:rsidR="00D555CD" w:rsidRPr="00661D65">
        <w:rPr>
          <w:rFonts w:ascii="Times New Roman" w:hAnsi="Times New Roman" w:cs="Times New Roman"/>
          <w:sz w:val="24"/>
          <w:szCs w:val="24"/>
        </w:rPr>
        <w:t> proc.</w:t>
      </w:r>
      <w:r w:rsidR="005A6E31" w:rsidRPr="00B51CA0">
        <w:rPr>
          <w:rFonts w:ascii="Times New Roman" w:hAnsi="Times New Roman" w:cs="Times New Roman"/>
          <w:sz w:val="24"/>
          <w:szCs w:val="24"/>
        </w:rPr>
        <w:t xml:space="preserve"> </w:t>
      </w:r>
      <w:r w:rsidR="006B29C1" w:rsidRPr="00B51CA0">
        <w:rPr>
          <w:rFonts w:ascii="Times New Roman" w:hAnsi="Times New Roman" w:cs="Times New Roman"/>
          <w:sz w:val="24"/>
          <w:szCs w:val="24"/>
        </w:rPr>
        <w:t>nei ankstesniais metais (202</w:t>
      </w:r>
      <w:r w:rsidR="00D555CD" w:rsidRPr="00B51CA0">
        <w:rPr>
          <w:rFonts w:ascii="Times New Roman" w:hAnsi="Times New Roman" w:cs="Times New Roman"/>
          <w:sz w:val="24"/>
          <w:szCs w:val="24"/>
        </w:rPr>
        <w:t>3</w:t>
      </w:r>
      <w:r w:rsidR="007C5D49" w:rsidRPr="00B51CA0">
        <w:rPr>
          <w:rFonts w:ascii="Times New Roman" w:hAnsi="Times New Roman" w:cs="Times New Roman"/>
          <w:sz w:val="24"/>
          <w:szCs w:val="24"/>
        </w:rPr>
        <w:t> </w:t>
      </w:r>
      <w:r w:rsidR="006B29C1" w:rsidRPr="00B51CA0">
        <w:rPr>
          <w:rFonts w:ascii="Times New Roman" w:hAnsi="Times New Roman" w:cs="Times New Roman"/>
          <w:sz w:val="24"/>
          <w:szCs w:val="24"/>
        </w:rPr>
        <w:t xml:space="preserve">m. buvo inicijuotos </w:t>
      </w:r>
      <w:r w:rsidR="00D555CD" w:rsidRPr="00B51CA0">
        <w:rPr>
          <w:rFonts w:ascii="Times New Roman" w:hAnsi="Times New Roman" w:cs="Times New Roman"/>
          <w:sz w:val="24"/>
          <w:szCs w:val="24"/>
        </w:rPr>
        <w:t xml:space="preserve">148 </w:t>
      </w:r>
      <w:r w:rsidR="006B29C1" w:rsidRPr="00B51CA0">
        <w:rPr>
          <w:rFonts w:ascii="Times New Roman" w:hAnsi="Times New Roman" w:cs="Times New Roman"/>
          <w:sz w:val="24"/>
          <w:szCs w:val="24"/>
        </w:rPr>
        <w:t>planinės kontrolės procedūros).</w:t>
      </w:r>
      <w:r w:rsidR="005A6E31" w:rsidRPr="00B51CA0">
        <w:rPr>
          <w:rFonts w:ascii="Times New Roman" w:hAnsi="Times New Roman" w:cs="Times New Roman"/>
          <w:sz w:val="24"/>
          <w:szCs w:val="24"/>
        </w:rPr>
        <w:t xml:space="preserve"> Taip pat </w:t>
      </w:r>
      <w:r w:rsidR="00194FDC" w:rsidRPr="00B51CA0">
        <w:rPr>
          <w:rFonts w:ascii="Times New Roman" w:hAnsi="Times New Roman" w:cs="Times New Roman"/>
          <w:sz w:val="24"/>
          <w:szCs w:val="24"/>
        </w:rPr>
        <w:t>2024 </w:t>
      </w:r>
      <w:r w:rsidR="005A6E31" w:rsidRPr="00B51CA0">
        <w:rPr>
          <w:rFonts w:ascii="Times New Roman" w:hAnsi="Times New Roman" w:cs="Times New Roman"/>
          <w:sz w:val="24"/>
          <w:szCs w:val="24"/>
        </w:rPr>
        <w:t xml:space="preserve">m. stebėsenos duomenų pagrindu buvo </w:t>
      </w:r>
      <w:r w:rsidR="000B56A0" w:rsidRPr="00B51CA0">
        <w:rPr>
          <w:rFonts w:ascii="Times New Roman" w:hAnsi="Times New Roman" w:cs="Times New Roman"/>
          <w:sz w:val="24"/>
          <w:szCs w:val="24"/>
        </w:rPr>
        <w:t xml:space="preserve">inicijuotos </w:t>
      </w:r>
      <w:r w:rsidR="00D555CD" w:rsidRPr="00B51CA0">
        <w:rPr>
          <w:rFonts w:ascii="Times New Roman" w:hAnsi="Times New Roman" w:cs="Times New Roman"/>
          <w:sz w:val="24"/>
          <w:szCs w:val="24"/>
        </w:rPr>
        <w:t xml:space="preserve">3 </w:t>
      </w:r>
      <w:r w:rsidR="000B56A0" w:rsidRPr="00B51CA0">
        <w:rPr>
          <w:rFonts w:ascii="Times New Roman" w:hAnsi="Times New Roman" w:cs="Times New Roman"/>
          <w:sz w:val="24"/>
          <w:szCs w:val="24"/>
        </w:rPr>
        <w:t xml:space="preserve">neplaninės </w:t>
      </w:r>
      <w:r w:rsidR="005A6E31" w:rsidRPr="00B51CA0">
        <w:rPr>
          <w:rFonts w:ascii="Times New Roman" w:hAnsi="Times New Roman" w:cs="Times New Roman"/>
          <w:sz w:val="24"/>
          <w:szCs w:val="24"/>
        </w:rPr>
        <w:t>kontrolės procedūr</w:t>
      </w:r>
      <w:r w:rsidR="00194FDC" w:rsidRPr="00B51CA0">
        <w:rPr>
          <w:rFonts w:ascii="Times New Roman" w:hAnsi="Times New Roman" w:cs="Times New Roman"/>
          <w:sz w:val="24"/>
          <w:szCs w:val="24"/>
        </w:rPr>
        <w:t>os</w:t>
      </w:r>
      <w:r w:rsidR="00C309BE">
        <w:rPr>
          <w:rFonts w:ascii="Times New Roman" w:hAnsi="Times New Roman" w:cs="Times New Roman"/>
          <w:sz w:val="24"/>
          <w:szCs w:val="24"/>
        </w:rPr>
        <w:t xml:space="preserve"> (2023 m. inicijuota 10 </w:t>
      </w:r>
      <w:r w:rsidR="00C309BE" w:rsidRPr="00661D65">
        <w:rPr>
          <w:rFonts w:ascii="Times New Roman" w:hAnsi="Times New Roman" w:cs="Times New Roman"/>
          <w:sz w:val="24"/>
          <w:szCs w:val="24"/>
        </w:rPr>
        <w:t>neplanin</w:t>
      </w:r>
      <w:r w:rsidR="00A23D45">
        <w:rPr>
          <w:rFonts w:ascii="Times New Roman" w:hAnsi="Times New Roman" w:cs="Times New Roman"/>
          <w:sz w:val="24"/>
          <w:szCs w:val="24"/>
        </w:rPr>
        <w:t>ių</w:t>
      </w:r>
      <w:r w:rsidR="00C309BE" w:rsidRPr="00661D65">
        <w:rPr>
          <w:rFonts w:ascii="Times New Roman" w:hAnsi="Times New Roman" w:cs="Times New Roman"/>
          <w:sz w:val="24"/>
          <w:szCs w:val="24"/>
        </w:rPr>
        <w:t xml:space="preserve"> kontrolės procedūr</w:t>
      </w:r>
      <w:r w:rsidR="00C309BE">
        <w:rPr>
          <w:rFonts w:ascii="Times New Roman" w:hAnsi="Times New Roman" w:cs="Times New Roman"/>
          <w:sz w:val="24"/>
          <w:szCs w:val="24"/>
        </w:rPr>
        <w:t>ų)</w:t>
      </w:r>
      <w:r w:rsidR="005A6E31" w:rsidRPr="00661D65">
        <w:rPr>
          <w:rFonts w:ascii="Times New Roman" w:hAnsi="Times New Roman" w:cs="Times New Roman"/>
          <w:sz w:val="24"/>
          <w:szCs w:val="24"/>
        </w:rPr>
        <w:t>.</w:t>
      </w:r>
      <w:r w:rsidR="005A6E31" w:rsidRPr="00B51CA0">
        <w:rPr>
          <w:rFonts w:ascii="Times New Roman" w:hAnsi="Times New Roman" w:cs="Times New Roman"/>
          <w:sz w:val="24"/>
          <w:szCs w:val="24"/>
        </w:rPr>
        <w:t xml:space="preserve"> </w:t>
      </w:r>
    </w:p>
    <w:p w14:paraId="772C0213" w14:textId="34149D87" w:rsidR="00483E6C" w:rsidRPr="00FF0228" w:rsidRDefault="00F20197" w:rsidP="00395724">
      <w:pPr>
        <w:spacing w:after="0" w:line="240" w:lineRule="auto"/>
        <w:ind w:firstLine="851"/>
        <w:jc w:val="both"/>
        <w:rPr>
          <w:rFonts w:ascii="Times New Roman" w:hAnsi="Times New Roman" w:cs="Times New Roman"/>
          <w:sz w:val="24"/>
          <w:szCs w:val="24"/>
          <w:lang w:eastAsia="lt-LT"/>
        </w:rPr>
      </w:pPr>
      <w:r w:rsidRPr="00B51CA0">
        <w:rPr>
          <w:rFonts w:ascii="Times New Roman" w:hAnsi="Times New Roman" w:cs="Times New Roman"/>
          <w:sz w:val="24"/>
          <w:szCs w:val="24"/>
          <w:lang w:eastAsia="lt-LT"/>
        </w:rPr>
        <w:t xml:space="preserve">Bendras </w:t>
      </w:r>
      <w:r w:rsidR="000B56A0" w:rsidRPr="00B51CA0">
        <w:rPr>
          <w:rFonts w:ascii="Times New Roman" w:hAnsi="Times New Roman" w:cs="Times New Roman"/>
          <w:sz w:val="24"/>
          <w:szCs w:val="24"/>
          <w:lang w:eastAsia="lt-LT"/>
        </w:rPr>
        <w:t xml:space="preserve">2024 m. </w:t>
      </w:r>
      <w:r w:rsidRPr="00B51CA0">
        <w:rPr>
          <w:rFonts w:ascii="Times New Roman" w:hAnsi="Times New Roman" w:cs="Times New Roman"/>
          <w:sz w:val="24"/>
          <w:szCs w:val="24"/>
          <w:lang w:eastAsia="lt-LT"/>
        </w:rPr>
        <w:t>p</w:t>
      </w:r>
      <w:r w:rsidR="00850D4E" w:rsidRPr="00B51CA0">
        <w:rPr>
          <w:rFonts w:ascii="Times New Roman" w:hAnsi="Times New Roman" w:cs="Times New Roman"/>
          <w:sz w:val="24"/>
          <w:szCs w:val="24"/>
          <w:lang w:eastAsia="lt-LT"/>
        </w:rPr>
        <w:t>atikrintų</w:t>
      </w:r>
      <w:r w:rsidRPr="00B51CA0">
        <w:rPr>
          <w:rFonts w:ascii="Times New Roman" w:hAnsi="Times New Roman" w:cs="Times New Roman"/>
          <w:sz w:val="24"/>
          <w:szCs w:val="24"/>
          <w:lang w:eastAsia="lt-LT"/>
        </w:rPr>
        <w:t xml:space="preserve"> receptų skaičius </w:t>
      </w:r>
      <w:r w:rsidR="003A4896" w:rsidRPr="00B51CA0">
        <w:rPr>
          <w:rFonts w:ascii="Times New Roman" w:hAnsi="Times New Roman" w:cs="Times New Roman"/>
          <w:sz w:val="24"/>
          <w:szCs w:val="24"/>
          <w:lang w:eastAsia="lt-LT"/>
        </w:rPr>
        <w:t xml:space="preserve">– </w:t>
      </w:r>
      <w:r w:rsidR="005A6E31" w:rsidRPr="00B51CA0">
        <w:rPr>
          <w:rFonts w:ascii="Times New Roman" w:hAnsi="Times New Roman" w:cs="Times New Roman"/>
          <w:sz w:val="24"/>
          <w:szCs w:val="24"/>
          <w:lang w:eastAsia="lt-LT"/>
        </w:rPr>
        <w:t>beveik</w:t>
      </w:r>
      <w:r w:rsidRPr="00B51CA0">
        <w:rPr>
          <w:rFonts w:ascii="Times New Roman" w:hAnsi="Times New Roman" w:cs="Times New Roman"/>
          <w:sz w:val="24"/>
          <w:szCs w:val="24"/>
          <w:lang w:eastAsia="lt-LT"/>
        </w:rPr>
        <w:t xml:space="preserve"> </w:t>
      </w:r>
      <w:r w:rsidR="00561625" w:rsidRPr="00B51CA0">
        <w:rPr>
          <w:rFonts w:ascii="Times New Roman" w:hAnsi="Times New Roman" w:cs="Times New Roman"/>
          <w:sz w:val="24"/>
          <w:szCs w:val="24"/>
          <w:lang w:eastAsia="lt-LT"/>
        </w:rPr>
        <w:t>197</w:t>
      </w:r>
      <w:r w:rsidR="0055141B" w:rsidRPr="00B51CA0">
        <w:rPr>
          <w:rFonts w:ascii="Times New Roman" w:hAnsi="Times New Roman" w:cs="Times New Roman"/>
          <w:sz w:val="24"/>
          <w:szCs w:val="24"/>
          <w:lang w:eastAsia="lt-LT"/>
        </w:rPr>
        <w:t> </w:t>
      </w:r>
      <w:r w:rsidR="00561625" w:rsidRPr="00B51CA0">
        <w:rPr>
          <w:rFonts w:ascii="Times New Roman" w:hAnsi="Times New Roman" w:cs="Times New Roman"/>
          <w:sz w:val="24"/>
          <w:szCs w:val="24"/>
          <w:lang w:eastAsia="lt-LT"/>
        </w:rPr>
        <w:t>tūkstančiai</w:t>
      </w:r>
      <w:r w:rsidR="000B56A0" w:rsidRPr="00B51CA0">
        <w:rPr>
          <w:rFonts w:ascii="Times New Roman" w:hAnsi="Times New Roman" w:cs="Times New Roman"/>
          <w:sz w:val="24"/>
          <w:szCs w:val="24"/>
          <w:lang w:eastAsia="lt-LT"/>
        </w:rPr>
        <w:t xml:space="preserve"> (tai </w:t>
      </w:r>
      <w:r w:rsidR="00394691" w:rsidRPr="00BE6736">
        <w:rPr>
          <w:rFonts w:ascii="Times New Roman" w:hAnsi="Times New Roman" w:cs="Times New Roman"/>
          <w:sz w:val="24"/>
          <w:szCs w:val="24"/>
          <w:lang w:eastAsia="lt-LT"/>
        </w:rPr>
        <w:t>51,5</w:t>
      </w:r>
      <w:r w:rsidR="000B56A0" w:rsidRPr="00B51CA0">
        <w:rPr>
          <w:rFonts w:ascii="Times New Roman" w:hAnsi="Times New Roman" w:cs="Times New Roman"/>
          <w:sz w:val="24"/>
          <w:szCs w:val="24"/>
          <w:lang w:eastAsia="lt-LT"/>
        </w:rPr>
        <w:t> proc. daugiau nei 2023 m.)</w:t>
      </w:r>
      <w:r w:rsidR="00850D4E" w:rsidRPr="00B51CA0">
        <w:rPr>
          <w:rFonts w:ascii="Times New Roman" w:hAnsi="Times New Roman" w:cs="Times New Roman"/>
          <w:sz w:val="24"/>
          <w:szCs w:val="24"/>
          <w:lang w:eastAsia="lt-LT"/>
        </w:rPr>
        <w:t>.</w:t>
      </w:r>
      <w:r w:rsidRPr="00B51CA0">
        <w:rPr>
          <w:rFonts w:ascii="Times New Roman" w:hAnsi="Times New Roman" w:cs="Times New Roman"/>
          <w:sz w:val="24"/>
          <w:szCs w:val="24"/>
          <w:lang w:eastAsia="lt-LT"/>
        </w:rPr>
        <w:t xml:space="preserve"> </w:t>
      </w:r>
      <w:r w:rsidR="00B34997" w:rsidRPr="00B51CA0">
        <w:rPr>
          <w:rFonts w:ascii="Times New Roman" w:hAnsi="Times New Roman" w:cs="Times New Roman"/>
          <w:sz w:val="24"/>
          <w:szCs w:val="24"/>
          <w:lang w:eastAsia="lt-LT"/>
        </w:rPr>
        <w:t>202</w:t>
      </w:r>
      <w:r w:rsidR="00561625" w:rsidRPr="00B51CA0">
        <w:rPr>
          <w:rFonts w:ascii="Times New Roman" w:hAnsi="Times New Roman" w:cs="Times New Roman"/>
          <w:sz w:val="24"/>
          <w:szCs w:val="24"/>
          <w:lang w:eastAsia="lt-LT"/>
        </w:rPr>
        <w:t>4</w:t>
      </w:r>
      <w:r w:rsidR="003C107D" w:rsidRPr="00B51CA0">
        <w:rPr>
          <w:rFonts w:ascii="Times New Roman" w:hAnsi="Times New Roman" w:cs="Times New Roman"/>
          <w:sz w:val="24"/>
          <w:szCs w:val="24"/>
          <w:lang w:eastAsia="lt-LT"/>
        </w:rPr>
        <w:t> </w:t>
      </w:r>
      <w:r w:rsidR="00B34997" w:rsidRPr="00B51CA0">
        <w:rPr>
          <w:rFonts w:ascii="Times New Roman" w:hAnsi="Times New Roman" w:cs="Times New Roman"/>
          <w:sz w:val="24"/>
          <w:szCs w:val="24"/>
          <w:lang w:eastAsia="lt-LT"/>
        </w:rPr>
        <w:t>m.</w:t>
      </w:r>
      <w:r w:rsidR="00F9123C" w:rsidRPr="00B51CA0">
        <w:rPr>
          <w:rFonts w:ascii="Times New Roman" w:hAnsi="Times New Roman" w:cs="Times New Roman"/>
          <w:sz w:val="24"/>
          <w:szCs w:val="24"/>
          <w:lang w:eastAsia="lt-LT"/>
        </w:rPr>
        <w:t>,</w:t>
      </w:r>
      <w:r w:rsidR="00B34997" w:rsidRPr="00B51CA0">
        <w:rPr>
          <w:rFonts w:ascii="Times New Roman" w:hAnsi="Times New Roman" w:cs="Times New Roman"/>
          <w:sz w:val="24"/>
          <w:szCs w:val="24"/>
          <w:lang w:eastAsia="lt-LT"/>
        </w:rPr>
        <w:t xml:space="preserve"> TLK atli</w:t>
      </w:r>
      <w:r w:rsidR="00526030" w:rsidRPr="00B51CA0">
        <w:rPr>
          <w:rFonts w:ascii="Times New Roman" w:hAnsi="Times New Roman" w:cs="Times New Roman"/>
          <w:sz w:val="24"/>
          <w:szCs w:val="24"/>
          <w:lang w:eastAsia="lt-LT"/>
        </w:rPr>
        <w:t>ekant</w:t>
      </w:r>
      <w:r w:rsidR="00B34997" w:rsidRPr="00B51CA0">
        <w:rPr>
          <w:rFonts w:ascii="Times New Roman" w:hAnsi="Times New Roman" w:cs="Times New Roman"/>
          <w:sz w:val="24"/>
          <w:szCs w:val="24"/>
          <w:lang w:eastAsia="lt-LT"/>
        </w:rPr>
        <w:t xml:space="preserve"> kontrolės procedūras</w:t>
      </w:r>
      <w:r w:rsidR="00F9123C" w:rsidRPr="00B51CA0">
        <w:rPr>
          <w:rFonts w:ascii="Times New Roman" w:hAnsi="Times New Roman" w:cs="Times New Roman"/>
          <w:sz w:val="24"/>
          <w:szCs w:val="24"/>
          <w:lang w:eastAsia="lt-LT"/>
        </w:rPr>
        <w:t>,</w:t>
      </w:r>
      <w:r w:rsidR="00B34997" w:rsidRPr="00B51CA0">
        <w:rPr>
          <w:rFonts w:ascii="Times New Roman" w:hAnsi="Times New Roman" w:cs="Times New Roman"/>
          <w:sz w:val="24"/>
          <w:szCs w:val="24"/>
          <w:lang w:eastAsia="lt-LT"/>
        </w:rPr>
        <w:t xml:space="preserve"> buvo nustatyta</w:t>
      </w:r>
      <w:r w:rsidR="00526030" w:rsidRPr="00B51CA0">
        <w:rPr>
          <w:rFonts w:ascii="Times New Roman" w:hAnsi="Times New Roman" w:cs="Times New Roman"/>
          <w:sz w:val="24"/>
          <w:szCs w:val="24"/>
          <w:lang w:eastAsia="lt-LT"/>
        </w:rPr>
        <w:t>, kad pacientai</w:t>
      </w:r>
      <w:r w:rsidR="00B34997" w:rsidRPr="00B51CA0">
        <w:rPr>
          <w:rFonts w:ascii="Times New Roman" w:hAnsi="Times New Roman" w:cs="Times New Roman"/>
          <w:sz w:val="24"/>
          <w:szCs w:val="24"/>
          <w:lang w:eastAsia="lt-LT"/>
        </w:rPr>
        <w:t xml:space="preserve"> </w:t>
      </w:r>
      <w:r w:rsidR="00526030" w:rsidRPr="00B51CA0">
        <w:rPr>
          <w:rFonts w:ascii="Times New Roman" w:hAnsi="Times New Roman" w:cs="Times New Roman"/>
          <w:sz w:val="24"/>
          <w:szCs w:val="24"/>
          <w:lang w:eastAsia="lt-LT"/>
        </w:rPr>
        <w:t xml:space="preserve">ūkio subjektams, suteikusiems PSDF biudžeto lėšomis apmokamas paslaugas, nepagrįstai sumokėjo </w:t>
      </w:r>
      <w:r w:rsidR="00987B0C" w:rsidRPr="00661D65">
        <w:rPr>
          <w:rFonts w:ascii="Times New Roman" w:hAnsi="Times New Roman" w:cs="Times New Roman"/>
          <w:sz w:val="24"/>
          <w:szCs w:val="24"/>
          <w:lang w:eastAsia="lt-LT"/>
        </w:rPr>
        <w:t>2,3</w:t>
      </w:r>
      <w:r w:rsidR="004B275C" w:rsidRPr="00661D65">
        <w:rPr>
          <w:rFonts w:ascii="Times New Roman" w:hAnsi="Times New Roman" w:cs="Times New Roman"/>
          <w:sz w:val="24"/>
          <w:szCs w:val="24"/>
          <w:lang w:eastAsia="lt-LT"/>
        </w:rPr>
        <w:t> </w:t>
      </w:r>
      <w:r w:rsidR="006E56BF" w:rsidRPr="00661D65">
        <w:rPr>
          <w:rFonts w:ascii="Times New Roman" w:hAnsi="Times New Roman" w:cs="Times New Roman"/>
          <w:sz w:val="24"/>
          <w:szCs w:val="24"/>
          <w:lang w:eastAsia="lt-LT"/>
        </w:rPr>
        <w:t>t</w:t>
      </w:r>
      <w:r w:rsidR="00526030" w:rsidRPr="00661D65">
        <w:rPr>
          <w:rFonts w:ascii="Times New Roman" w:hAnsi="Times New Roman" w:cs="Times New Roman"/>
          <w:sz w:val="24"/>
          <w:szCs w:val="24"/>
          <w:lang w:eastAsia="lt-LT"/>
        </w:rPr>
        <w:t>ūkst.</w:t>
      </w:r>
      <w:r w:rsidR="00526030" w:rsidRPr="00B51CA0">
        <w:rPr>
          <w:rFonts w:ascii="Times New Roman" w:hAnsi="Times New Roman" w:cs="Times New Roman"/>
          <w:sz w:val="24"/>
          <w:szCs w:val="24"/>
          <w:lang w:eastAsia="lt-LT"/>
        </w:rPr>
        <w:t xml:space="preserve"> </w:t>
      </w:r>
      <w:r w:rsidR="00850D4E" w:rsidRPr="00B51CA0">
        <w:rPr>
          <w:rFonts w:ascii="Times New Roman" w:hAnsi="Times New Roman" w:cs="Times New Roman"/>
          <w:sz w:val="24"/>
          <w:szCs w:val="24"/>
          <w:lang w:eastAsia="lt-LT"/>
        </w:rPr>
        <w:t>Eur</w:t>
      </w:r>
      <w:r w:rsidR="00B34997" w:rsidRPr="00B51CA0">
        <w:rPr>
          <w:rFonts w:ascii="Times New Roman" w:hAnsi="Times New Roman" w:cs="Times New Roman"/>
          <w:sz w:val="24"/>
          <w:szCs w:val="24"/>
          <w:lang w:eastAsia="lt-LT"/>
        </w:rPr>
        <w:t xml:space="preserve">. </w:t>
      </w:r>
      <w:r w:rsidR="00FA2269" w:rsidRPr="00B51CA0">
        <w:rPr>
          <w:rFonts w:ascii="Times New Roman" w:hAnsi="Times New Roman" w:cs="Times New Roman"/>
          <w:sz w:val="24"/>
          <w:szCs w:val="24"/>
          <w:lang w:eastAsia="lt-LT"/>
        </w:rPr>
        <w:t xml:space="preserve">Daugiausiai </w:t>
      </w:r>
      <w:r w:rsidR="004827C5" w:rsidRPr="00B51CA0">
        <w:rPr>
          <w:rFonts w:ascii="Times New Roman" w:hAnsi="Times New Roman" w:cs="Times New Roman"/>
          <w:sz w:val="24"/>
          <w:szCs w:val="24"/>
          <w:lang w:eastAsia="lt-LT"/>
        </w:rPr>
        <w:t>neteisėt</w:t>
      </w:r>
      <w:r w:rsidR="00FA2269" w:rsidRPr="00B51CA0">
        <w:rPr>
          <w:rFonts w:ascii="Times New Roman" w:hAnsi="Times New Roman" w:cs="Times New Roman"/>
          <w:sz w:val="24"/>
          <w:szCs w:val="24"/>
          <w:lang w:eastAsia="lt-LT"/>
        </w:rPr>
        <w:t>ų</w:t>
      </w:r>
      <w:r w:rsidR="004827C5" w:rsidRPr="00B51CA0">
        <w:rPr>
          <w:rFonts w:ascii="Times New Roman" w:hAnsi="Times New Roman" w:cs="Times New Roman"/>
          <w:sz w:val="24"/>
          <w:szCs w:val="24"/>
          <w:lang w:eastAsia="lt-LT"/>
        </w:rPr>
        <w:t xml:space="preserve"> </w:t>
      </w:r>
      <w:r w:rsidR="00B34997" w:rsidRPr="00B51CA0">
        <w:rPr>
          <w:rFonts w:ascii="Times New Roman" w:hAnsi="Times New Roman" w:cs="Times New Roman"/>
          <w:sz w:val="24"/>
          <w:szCs w:val="24"/>
          <w:lang w:eastAsia="lt-LT"/>
        </w:rPr>
        <w:t>priemok</w:t>
      </w:r>
      <w:r w:rsidR="00FA2269" w:rsidRPr="00B51CA0">
        <w:rPr>
          <w:rFonts w:ascii="Times New Roman" w:hAnsi="Times New Roman" w:cs="Times New Roman"/>
          <w:sz w:val="24"/>
          <w:szCs w:val="24"/>
          <w:lang w:eastAsia="lt-LT"/>
        </w:rPr>
        <w:t>ų</w:t>
      </w:r>
      <w:r w:rsidR="00217089" w:rsidRPr="00B51CA0">
        <w:rPr>
          <w:rFonts w:ascii="Times New Roman" w:hAnsi="Times New Roman" w:cs="Times New Roman"/>
          <w:sz w:val="24"/>
          <w:szCs w:val="24"/>
          <w:lang w:eastAsia="lt-LT"/>
        </w:rPr>
        <w:t xml:space="preserve"> (t. y. pus</w:t>
      </w:r>
      <w:r w:rsidR="00974F56">
        <w:rPr>
          <w:rFonts w:ascii="Times New Roman" w:hAnsi="Times New Roman" w:cs="Times New Roman"/>
          <w:sz w:val="24"/>
          <w:szCs w:val="24"/>
          <w:lang w:eastAsia="lt-LT"/>
        </w:rPr>
        <w:t>ė</w:t>
      </w:r>
      <w:r w:rsidR="00217089" w:rsidRPr="00B51CA0">
        <w:rPr>
          <w:rFonts w:ascii="Times New Roman" w:hAnsi="Times New Roman" w:cs="Times New Roman"/>
          <w:sz w:val="24"/>
          <w:szCs w:val="24"/>
          <w:lang w:eastAsia="lt-LT"/>
        </w:rPr>
        <w:t xml:space="preserve"> minėtos sumos)</w:t>
      </w:r>
      <w:r w:rsidR="00FA2269" w:rsidRPr="00B51CA0">
        <w:rPr>
          <w:rFonts w:ascii="Times New Roman" w:hAnsi="Times New Roman" w:cs="Times New Roman"/>
          <w:sz w:val="24"/>
          <w:szCs w:val="24"/>
          <w:lang w:eastAsia="lt-LT"/>
        </w:rPr>
        <w:t xml:space="preserve"> nustatyta</w:t>
      </w:r>
      <w:r w:rsidR="00CB50C4" w:rsidRPr="00B51CA0">
        <w:rPr>
          <w:rFonts w:ascii="Times New Roman" w:hAnsi="Times New Roman" w:cs="Times New Roman"/>
          <w:sz w:val="24"/>
          <w:szCs w:val="24"/>
          <w:lang w:eastAsia="lt-LT"/>
        </w:rPr>
        <w:t>,</w:t>
      </w:r>
      <w:r w:rsidR="004827C5" w:rsidRPr="00B51CA0">
        <w:rPr>
          <w:rFonts w:ascii="Times New Roman" w:hAnsi="Times New Roman" w:cs="Times New Roman"/>
          <w:sz w:val="24"/>
          <w:szCs w:val="24"/>
          <w:lang w:eastAsia="lt-LT"/>
        </w:rPr>
        <w:t xml:space="preserve"> </w:t>
      </w:r>
      <w:r w:rsidR="00217089" w:rsidRPr="00B51CA0">
        <w:rPr>
          <w:rFonts w:ascii="Times New Roman" w:hAnsi="Times New Roman" w:cs="Times New Roman"/>
          <w:sz w:val="24"/>
          <w:szCs w:val="24"/>
          <w:lang w:eastAsia="lt-LT"/>
        </w:rPr>
        <w:t xml:space="preserve">atliekant </w:t>
      </w:r>
      <w:r w:rsidR="00FF36D5" w:rsidRPr="00B51CA0">
        <w:rPr>
          <w:rFonts w:ascii="Times New Roman" w:hAnsi="Times New Roman" w:cs="Times New Roman"/>
          <w:sz w:val="24"/>
          <w:szCs w:val="24"/>
          <w:lang w:eastAsia="lt-LT"/>
        </w:rPr>
        <w:t xml:space="preserve">kompensuojamųjų </w:t>
      </w:r>
      <w:r w:rsidR="00217089" w:rsidRPr="00B51CA0">
        <w:rPr>
          <w:rFonts w:ascii="Times New Roman" w:hAnsi="Times New Roman" w:cs="Times New Roman"/>
          <w:sz w:val="24"/>
          <w:szCs w:val="24"/>
          <w:lang w:eastAsia="lt-LT"/>
        </w:rPr>
        <w:t>brangi</w:t>
      </w:r>
      <w:r w:rsidR="00FF36D5" w:rsidRPr="00B51CA0">
        <w:rPr>
          <w:rFonts w:ascii="Times New Roman" w:hAnsi="Times New Roman" w:cs="Times New Roman"/>
          <w:sz w:val="24"/>
          <w:szCs w:val="24"/>
          <w:lang w:eastAsia="lt-LT"/>
        </w:rPr>
        <w:t>ųjų</w:t>
      </w:r>
      <w:r w:rsidR="00217089" w:rsidRPr="00B51CA0">
        <w:rPr>
          <w:rFonts w:ascii="Times New Roman" w:hAnsi="Times New Roman" w:cs="Times New Roman"/>
          <w:sz w:val="24"/>
          <w:szCs w:val="24"/>
          <w:lang w:eastAsia="lt-LT"/>
        </w:rPr>
        <w:t xml:space="preserve"> tyrim</w:t>
      </w:r>
      <w:r w:rsidR="00FF36D5" w:rsidRPr="00B51CA0">
        <w:rPr>
          <w:rFonts w:ascii="Times New Roman" w:hAnsi="Times New Roman" w:cs="Times New Roman"/>
          <w:sz w:val="24"/>
          <w:szCs w:val="24"/>
          <w:lang w:eastAsia="lt-LT"/>
        </w:rPr>
        <w:t>ų</w:t>
      </w:r>
      <w:r w:rsidR="00217089" w:rsidRPr="00B51CA0">
        <w:rPr>
          <w:rFonts w:ascii="Times New Roman" w:hAnsi="Times New Roman" w:cs="Times New Roman"/>
          <w:sz w:val="24"/>
          <w:szCs w:val="24"/>
          <w:lang w:eastAsia="lt-LT"/>
        </w:rPr>
        <w:t xml:space="preserve"> ir proced</w:t>
      </w:r>
      <w:r w:rsidR="00FF36D5" w:rsidRPr="00B51CA0">
        <w:rPr>
          <w:rFonts w:ascii="Times New Roman" w:hAnsi="Times New Roman" w:cs="Times New Roman"/>
          <w:sz w:val="24"/>
          <w:szCs w:val="24"/>
          <w:lang w:eastAsia="lt-LT"/>
        </w:rPr>
        <w:t>ūrų kontrolę</w:t>
      </w:r>
      <w:r w:rsidR="00FA2269" w:rsidRPr="00B51CA0">
        <w:rPr>
          <w:rFonts w:ascii="Times New Roman" w:hAnsi="Times New Roman" w:cs="Times New Roman"/>
          <w:sz w:val="24"/>
          <w:szCs w:val="24"/>
          <w:lang w:eastAsia="lt-LT"/>
        </w:rPr>
        <w:t>.</w:t>
      </w:r>
    </w:p>
    <w:p w14:paraId="353B24C6" w14:textId="77777777" w:rsidR="00FA2269" w:rsidRPr="006715A7" w:rsidRDefault="00FA2269" w:rsidP="00FA2269">
      <w:pPr>
        <w:tabs>
          <w:tab w:val="left" w:pos="709"/>
          <w:tab w:val="left" w:pos="1134"/>
          <w:tab w:val="left" w:pos="3402"/>
        </w:tabs>
        <w:spacing w:after="0" w:line="240" w:lineRule="auto"/>
        <w:jc w:val="both"/>
        <w:rPr>
          <w:rFonts w:ascii="Times New Roman" w:hAnsi="Times New Roman" w:cs="Times New Roman"/>
          <w:sz w:val="24"/>
          <w:szCs w:val="24"/>
          <w:highlight w:val="yellow"/>
          <w:lang w:eastAsia="lt-LT"/>
        </w:rPr>
      </w:pPr>
    </w:p>
    <w:p w14:paraId="2A29FE7D" w14:textId="078BCE44" w:rsidR="00CE5113" w:rsidRPr="006715A7" w:rsidRDefault="000D7DA4" w:rsidP="00B51CA0">
      <w:pPr>
        <w:spacing w:after="0" w:line="240" w:lineRule="auto"/>
        <w:jc w:val="center"/>
        <w:rPr>
          <w:rFonts w:ascii="Times New Roman" w:hAnsi="Times New Roman" w:cs="Times New Roman"/>
          <w:b/>
          <w:sz w:val="24"/>
          <w:szCs w:val="24"/>
        </w:rPr>
      </w:pPr>
      <w:r w:rsidRPr="006715A7">
        <w:rPr>
          <w:rFonts w:ascii="Times New Roman" w:hAnsi="Times New Roman" w:cs="Times New Roman"/>
          <w:b/>
          <w:sz w:val="24"/>
          <w:szCs w:val="24"/>
          <w:lang w:eastAsia="lt-LT"/>
        </w:rPr>
        <w:t>2024 </w:t>
      </w:r>
      <w:r w:rsidR="00271861" w:rsidRPr="006715A7">
        <w:rPr>
          <w:rFonts w:ascii="Times New Roman" w:hAnsi="Times New Roman" w:cs="Times New Roman"/>
          <w:b/>
          <w:sz w:val="24"/>
          <w:szCs w:val="24"/>
          <w:lang w:eastAsia="lt-LT"/>
        </w:rPr>
        <w:t>m</w:t>
      </w:r>
      <w:r w:rsidR="006A6A8E" w:rsidRPr="006715A7">
        <w:rPr>
          <w:rFonts w:ascii="Times New Roman" w:hAnsi="Times New Roman" w:cs="Times New Roman"/>
          <w:b/>
          <w:sz w:val="24"/>
          <w:szCs w:val="24"/>
          <w:lang w:eastAsia="lt-LT"/>
        </w:rPr>
        <w:t>.</w:t>
      </w:r>
      <w:r w:rsidR="00271861" w:rsidRPr="006715A7">
        <w:rPr>
          <w:rFonts w:ascii="Times New Roman" w:hAnsi="Times New Roman" w:cs="Times New Roman"/>
          <w:b/>
          <w:sz w:val="24"/>
          <w:szCs w:val="24"/>
          <w:lang w:eastAsia="lt-LT"/>
        </w:rPr>
        <w:t xml:space="preserve"> kontrolės procedūrų </w:t>
      </w:r>
      <w:r w:rsidR="00FF2534" w:rsidRPr="006715A7">
        <w:rPr>
          <w:rFonts w:ascii="Times New Roman" w:hAnsi="Times New Roman" w:cs="Times New Roman"/>
          <w:b/>
          <w:sz w:val="24"/>
          <w:szCs w:val="24"/>
          <w:lang w:eastAsia="lt-LT"/>
        </w:rPr>
        <w:t xml:space="preserve">duomenų </w:t>
      </w:r>
      <w:r w:rsidR="00271861" w:rsidRPr="006715A7">
        <w:rPr>
          <w:rFonts w:ascii="Times New Roman" w:hAnsi="Times New Roman" w:cs="Times New Roman"/>
          <w:b/>
          <w:sz w:val="24"/>
          <w:szCs w:val="24"/>
          <w:lang w:eastAsia="lt-LT"/>
        </w:rPr>
        <w:t>analizė</w:t>
      </w:r>
      <w:r w:rsidR="00526030" w:rsidRPr="006715A7">
        <w:rPr>
          <w:rFonts w:ascii="Times New Roman" w:hAnsi="Times New Roman" w:cs="Times New Roman"/>
          <w:b/>
          <w:sz w:val="24"/>
          <w:szCs w:val="24"/>
          <w:lang w:eastAsia="lt-LT"/>
        </w:rPr>
        <w:t>, atlikta</w:t>
      </w:r>
      <w:r w:rsidR="00271861" w:rsidRPr="006715A7">
        <w:rPr>
          <w:rFonts w:ascii="Times New Roman" w:hAnsi="Times New Roman" w:cs="Times New Roman"/>
          <w:b/>
          <w:sz w:val="24"/>
          <w:szCs w:val="24"/>
        </w:rPr>
        <w:t xml:space="preserve"> </w:t>
      </w:r>
      <w:r w:rsidR="006A6A8E" w:rsidRPr="006715A7">
        <w:rPr>
          <w:rFonts w:ascii="Times New Roman" w:hAnsi="Times New Roman" w:cs="Times New Roman"/>
          <w:b/>
          <w:sz w:val="24"/>
          <w:szCs w:val="24"/>
        </w:rPr>
        <w:t>pagal</w:t>
      </w:r>
      <w:r w:rsidR="00CE5113" w:rsidRPr="006715A7">
        <w:rPr>
          <w:rFonts w:ascii="Times New Roman" w:hAnsi="Times New Roman" w:cs="Times New Roman"/>
          <w:b/>
          <w:sz w:val="24"/>
          <w:szCs w:val="24"/>
        </w:rPr>
        <w:t xml:space="preserve"> </w:t>
      </w:r>
      <w:r w:rsidR="00271861" w:rsidRPr="006715A7">
        <w:rPr>
          <w:rFonts w:ascii="Times New Roman" w:hAnsi="Times New Roman" w:cs="Times New Roman"/>
          <w:b/>
          <w:sz w:val="24"/>
          <w:szCs w:val="24"/>
        </w:rPr>
        <w:t xml:space="preserve">ūkio subjektų veiklos priežiūros </w:t>
      </w:r>
      <w:r w:rsidR="00CE5113" w:rsidRPr="006715A7">
        <w:rPr>
          <w:rFonts w:ascii="Times New Roman" w:hAnsi="Times New Roman" w:cs="Times New Roman"/>
          <w:b/>
          <w:sz w:val="24"/>
          <w:szCs w:val="24"/>
        </w:rPr>
        <w:t xml:space="preserve">metinę ataskaitą ir </w:t>
      </w:r>
      <w:r w:rsidR="00271861" w:rsidRPr="006715A7">
        <w:rPr>
          <w:rFonts w:ascii="Times New Roman" w:hAnsi="Times New Roman" w:cs="Times New Roman"/>
          <w:b/>
          <w:sz w:val="24"/>
          <w:szCs w:val="24"/>
        </w:rPr>
        <w:t xml:space="preserve">stebėsenos, efektyvumo (rezultatyvumo) </w:t>
      </w:r>
    </w:p>
    <w:p w14:paraId="41D5E750" w14:textId="597A9ABE" w:rsidR="00646693" w:rsidRPr="006715A7" w:rsidRDefault="00271861" w:rsidP="008C0DA0">
      <w:pPr>
        <w:tabs>
          <w:tab w:val="left" w:pos="567"/>
        </w:tabs>
        <w:spacing w:after="0" w:line="240" w:lineRule="auto"/>
        <w:jc w:val="center"/>
        <w:rPr>
          <w:rFonts w:ascii="Times New Roman" w:hAnsi="Times New Roman" w:cs="Times New Roman"/>
          <w:sz w:val="24"/>
          <w:szCs w:val="24"/>
        </w:rPr>
      </w:pPr>
      <w:r w:rsidRPr="006715A7">
        <w:rPr>
          <w:rFonts w:ascii="Times New Roman" w:hAnsi="Times New Roman" w:cs="Times New Roman"/>
          <w:b/>
          <w:sz w:val="24"/>
          <w:szCs w:val="24"/>
        </w:rPr>
        <w:t xml:space="preserve">matavimo </w:t>
      </w:r>
      <w:r w:rsidR="006A6A8E" w:rsidRPr="006715A7">
        <w:rPr>
          <w:rFonts w:ascii="Times New Roman" w:hAnsi="Times New Roman" w:cs="Times New Roman"/>
          <w:b/>
          <w:sz w:val="24"/>
          <w:szCs w:val="24"/>
        </w:rPr>
        <w:t>bei</w:t>
      </w:r>
      <w:r w:rsidRPr="006715A7">
        <w:rPr>
          <w:rFonts w:ascii="Times New Roman" w:hAnsi="Times New Roman" w:cs="Times New Roman"/>
          <w:b/>
          <w:sz w:val="24"/>
          <w:szCs w:val="24"/>
        </w:rPr>
        <w:t xml:space="preserve"> vertinimo rodiklius</w:t>
      </w:r>
    </w:p>
    <w:p w14:paraId="4617B923" w14:textId="77777777" w:rsidR="007A53D5" w:rsidRPr="006715A7" w:rsidRDefault="007A53D5" w:rsidP="00285ABA">
      <w:pPr>
        <w:spacing w:after="0" w:line="240" w:lineRule="auto"/>
        <w:jc w:val="center"/>
        <w:rPr>
          <w:rFonts w:ascii="Times New Roman" w:hAnsi="Times New Roman" w:cs="Times New Roman"/>
          <w:sz w:val="24"/>
          <w:szCs w:val="24"/>
        </w:rPr>
      </w:pPr>
    </w:p>
    <w:p w14:paraId="6A210F8A" w14:textId="6C0E646B" w:rsidR="0060544F" w:rsidRPr="006715A7" w:rsidRDefault="00AB1021" w:rsidP="0055141B">
      <w:pPr>
        <w:spacing w:after="0" w:line="240" w:lineRule="auto"/>
        <w:ind w:firstLine="851"/>
        <w:jc w:val="both"/>
        <w:rPr>
          <w:rFonts w:ascii="Times New Roman" w:hAnsi="Times New Roman" w:cs="Times New Roman"/>
          <w:i/>
          <w:iCs/>
          <w:sz w:val="24"/>
          <w:szCs w:val="24"/>
        </w:rPr>
      </w:pPr>
      <w:r w:rsidRPr="006715A7">
        <w:rPr>
          <w:rFonts w:ascii="Times New Roman" w:hAnsi="Times New Roman" w:cs="Times New Roman"/>
          <w:bCs/>
          <w:sz w:val="24"/>
          <w:szCs w:val="24"/>
        </w:rPr>
        <w:t>Didesnis išvengtos žalos PSDF biudžetui dydis</w:t>
      </w:r>
      <w:r w:rsidR="00526030" w:rsidRPr="006715A7">
        <w:rPr>
          <w:rFonts w:ascii="Times New Roman" w:hAnsi="Times New Roman" w:cs="Times New Roman"/>
          <w:bCs/>
          <w:sz w:val="24"/>
          <w:szCs w:val="24"/>
        </w:rPr>
        <w:t xml:space="preserve"> </w:t>
      </w:r>
      <w:r w:rsidR="007A53D5" w:rsidRPr="006715A7">
        <w:rPr>
          <w:rFonts w:ascii="Times New Roman" w:hAnsi="Times New Roman" w:cs="Times New Roman"/>
          <w:bCs/>
          <w:sz w:val="24"/>
          <w:szCs w:val="24"/>
          <w:lang w:eastAsia="ja-JP"/>
        </w:rPr>
        <w:t xml:space="preserve">– tai sistemingo TLK </w:t>
      </w:r>
      <w:r w:rsidR="00E70AFC" w:rsidRPr="006715A7">
        <w:rPr>
          <w:rFonts w:ascii="Times New Roman" w:hAnsi="Times New Roman" w:cs="Times New Roman"/>
          <w:bCs/>
          <w:sz w:val="24"/>
          <w:szCs w:val="24"/>
          <w:lang w:eastAsia="ja-JP"/>
        </w:rPr>
        <w:t>atliekamo</w:t>
      </w:r>
      <w:r w:rsidR="007A53D5" w:rsidRPr="006715A7">
        <w:rPr>
          <w:rFonts w:ascii="Times New Roman" w:hAnsi="Times New Roman" w:cs="Times New Roman"/>
          <w:bCs/>
          <w:sz w:val="24"/>
          <w:szCs w:val="24"/>
          <w:lang w:eastAsia="ja-JP"/>
        </w:rPr>
        <w:t xml:space="preserve"> </w:t>
      </w:r>
      <w:r w:rsidR="00E70AFC" w:rsidRPr="006715A7">
        <w:rPr>
          <w:rFonts w:ascii="Times New Roman" w:hAnsi="Times New Roman" w:cs="Times New Roman"/>
          <w:bCs/>
          <w:sz w:val="24"/>
          <w:szCs w:val="24"/>
          <w:lang w:eastAsia="ja-JP"/>
        </w:rPr>
        <w:t xml:space="preserve">ūkio subjektų </w:t>
      </w:r>
      <w:r w:rsidR="007A53D5" w:rsidRPr="006715A7">
        <w:rPr>
          <w:rFonts w:ascii="Times New Roman" w:hAnsi="Times New Roman" w:cs="Times New Roman"/>
          <w:bCs/>
          <w:sz w:val="24"/>
          <w:szCs w:val="24"/>
          <w:lang w:eastAsia="ja-JP"/>
        </w:rPr>
        <w:t xml:space="preserve">konsultavimo </w:t>
      </w:r>
      <w:r w:rsidR="00952A49" w:rsidRPr="006715A7">
        <w:rPr>
          <w:rFonts w:ascii="Times New Roman" w:hAnsi="Times New Roman" w:cs="Times New Roman"/>
          <w:bCs/>
          <w:sz w:val="24"/>
          <w:szCs w:val="24"/>
          <w:lang w:eastAsia="ja-JP"/>
        </w:rPr>
        <w:t>ir</w:t>
      </w:r>
      <w:r w:rsidR="007A53D5" w:rsidRPr="006715A7">
        <w:rPr>
          <w:rFonts w:ascii="Times New Roman" w:hAnsi="Times New Roman" w:cs="Times New Roman"/>
          <w:bCs/>
          <w:sz w:val="24"/>
          <w:szCs w:val="24"/>
          <w:lang w:eastAsia="ja-JP"/>
        </w:rPr>
        <w:t xml:space="preserve"> </w:t>
      </w:r>
      <w:r w:rsidR="00E70AFC" w:rsidRPr="006715A7">
        <w:rPr>
          <w:rFonts w:ascii="Times New Roman" w:hAnsi="Times New Roman" w:cs="Times New Roman"/>
          <w:bCs/>
          <w:sz w:val="24"/>
          <w:szCs w:val="24"/>
          <w:lang w:eastAsia="ja-JP"/>
        </w:rPr>
        <w:t xml:space="preserve">jų veiklos </w:t>
      </w:r>
      <w:r w:rsidR="007A53D5" w:rsidRPr="006715A7">
        <w:rPr>
          <w:rFonts w:ascii="Times New Roman" w:hAnsi="Times New Roman" w:cs="Times New Roman"/>
          <w:bCs/>
          <w:sz w:val="24"/>
          <w:szCs w:val="24"/>
          <w:lang w:eastAsia="ja-JP"/>
        </w:rPr>
        <w:t xml:space="preserve">stebėsenos rezultatas. </w:t>
      </w:r>
      <w:r w:rsidR="0070420E">
        <w:rPr>
          <w:rFonts w:ascii="Times New Roman" w:hAnsi="Times New Roman" w:cs="Times New Roman"/>
          <w:bCs/>
          <w:sz w:val="24"/>
          <w:szCs w:val="24"/>
        </w:rPr>
        <w:t>I</w:t>
      </w:r>
      <w:r w:rsidR="007A53D5" w:rsidRPr="006715A7">
        <w:rPr>
          <w:rFonts w:ascii="Times New Roman" w:hAnsi="Times New Roman" w:cs="Times New Roman"/>
          <w:bCs/>
          <w:sz w:val="24"/>
          <w:szCs w:val="24"/>
        </w:rPr>
        <w:t>šskirtinis dėmesys skiriamas ne tik neatitik</w:t>
      </w:r>
      <w:r w:rsidR="00FF2534" w:rsidRPr="006715A7">
        <w:rPr>
          <w:rFonts w:ascii="Times New Roman" w:hAnsi="Times New Roman" w:cs="Times New Roman"/>
          <w:bCs/>
          <w:sz w:val="24"/>
          <w:szCs w:val="24"/>
        </w:rPr>
        <w:t>tims</w:t>
      </w:r>
      <w:r w:rsidR="007A53D5" w:rsidRPr="006715A7">
        <w:rPr>
          <w:rFonts w:ascii="Times New Roman" w:hAnsi="Times New Roman" w:cs="Times New Roman"/>
          <w:bCs/>
          <w:sz w:val="24"/>
          <w:szCs w:val="24"/>
        </w:rPr>
        <w:t xml:space="preserve"> </w:t>
      </w:r>
      <w:r w:rsidR="00952A49" w:rsidRPr="006715A7">
        <w:rPr>
          <w:rFonts w:ascii="Times New Roman" w:hAnsi="Times New Roman" w:cs="Times New Roman"/>
          <w:bCs/>
          <w:sz w:val="24"/>
          <w:szCs w:val="24"/>
        </w:rPr>
        <w:t>nustaty</w:t>
      </w:r>
      <w:r w:rsidR="00FF2534" w:rsidRPr="006715A7">
        <w:rPr>
          <w:rFonts w:ascii="Times New Roman" w:hAnsi="Times New Roman" w:cs="Times New Roman"/>
          <w:bCs/>
          <w:sz w:val="24"/>
          <w:szCs w:val="24"/>
        </w:rPr>
        <w:t>ti</w:t>
      </w:r>
      <w:r w:rsidR="007A53D5" w:rsidRPr="006715A7">
        <w:rPr>
          <w:rFonts w:ascii="Times New Roman" w:hAnsi="Times New Roman" w:cs="Times New Roman"/>
          <w:bCs/>
          <w:sz w:val="24"/>
          <w:szCs w:val="24"/>
        </w:rPr>
        <w:t xml:space="preserve">, bet </w:t>
      </w:r>
      <w:r w:rsidR="007D042C" w:rsidRPr="006715A7">
        <w:rPr>
          <w:rFonts w:ascii="Times New Roman" w:hAnsi="Times New Roman" w:cs="Times New Roman"/>
          <w:bCs/>
          <w:sz w:val="24"/>
          <w:szCs w:val="24"/>
        </w:rPr>
        <w:t>ir</w:t>
      </w:r>
      <w:r w:rsidR="007A53D5" w:rsidRPr="006715A7">
        <w:rPr>
          <w:rFonts w:ascii="Times New Roman" w:hAnsi="Times New Roman" w:cs="Times New Roman"/>
          <w:bCs/>
          <w:sz w:val="24"/>
          <w:szCs w:val="24"/>
        </w:rPr>
        <w:t xml:space="preserve"> jų prevencijai</w:t>
      </w:r>
      <w:r w:rsidR="00FF2534" w:rsidRPr="006715A7">
        <w:rPr>
          <w:rFonts w:ascii="Times New Roman" w:hAnsi="Times New Roman" w:cs="Times New Roman"/>
          <w:bCs/>
          <w:sz w:val="24"/>
          <w:szCs w:val="24"/>
        </w:rPr>
        <w:t xml:space="preserve"> užtikrinti</w:t>
      </w:r>
      <w:r w:rsidR="00AA7A8D" w:rsidRPr="006715A7">
        <w:rPr>
          <w:rFonts w:ascii="Times New Roman" w:hAnsi="Times New Roman" w:cs="Times New Roman"/>
          <w:bCs/>
          <w:sz w:val="24"/>
          <w:szCs w:val="24"/>
        </w:rPr>
        <w:t xml:space="preserve">, </w:t>
      </w:r>
      <w:r w:rsidR="007A53D5" w:rsidRPr="006715A7">
        <w:rPr>
          <w:rFonts w:ascii="Times New Roman" w:hAnsi="Times New Roman" w:cs="Times New Roman"/>
          <w:bCs/>
          <w:sz w:val="24"/>
          <w:szCs w:val="24"/>
        </w:rPr>
        <w:t>laiku t</w:t>
      </w:r>
      <w:r w:rsidR="00AA7A8D" w:rsidRPr="006715A7">
        <w:rPr>
          <w:rFonts w:ascii="Times New Roman" w:hAnsi="Times New Roman" w:cs="Times New Roman"/>
          <w:bCs/>
          <w:sz w:val="24"/>
          <w:szCs w:val="24"/>
        </w:rPr>
        <w:t>ikslinant</w:t>
      </w:r>
      <w:r w:rsidR="007A53D5" w:rsidRPr="006715A7">
        <w:rPr>
          <w:rFonts w:ascii="Times New Roman" w:hAnsi="Times New Roman" w:cs="Times New Roman"/>
          <w:bCs/>
          <w:sz w:val="24"/>
          <w:szCs w:val="24"/>
        </w:rPr>
        <w:t xml:space="preserve"> klaidingus statistinių kortelių duomenis. </w:t>
      </w:r>
      <w:r w:rsidR="00283F46" w:rsidRPr="006715A7">
        <w:rPr>
          <w:rFonts w:ascii="Times New Roman" w:hAnsi="Times New Roman" w:cs="Times New Roman"/>
          <w:sz w:val="24"/>
          <w:szCs w:val="24"/>
        </w:rPr>
        <w:t>TLK atlieka ne tik statistinių kortelių duomenų stebėseną ir vertinimą. Sveikatos apsaugos ministro 2005</w:t>
      </w:r>
      <w:r w:rsidR="00800BAB" w:rsidRPr="006715A7">
        <w:rPr>
          <w:rFonts w:ascii="Times New Roman" w:hAnsi="Times New Roman" w:cs="Times New Roman"/>
          <w:sz w:val="24"/>
          <w:szCs w:val="24"/>
        </w:rPr>
        <w:t> </w:t>
      </w:r>
      <w:r w:rsidR="00283F46" w:rsidRPr="006715A7">
        <w:rPr>
          <w:rFonts w:ascii="Times New Roman" w:hAnsi="Times New Roman" w:cs="Times New Roman"/>
          <w:sz w:val="24"/>
          <w:szCs w:val="24"/>
        </w:rPr>
        <w:t>m. gruodžio 5</w:t>
      </w:r>
      <w:r w:rsidR="00800BAB" w:rsidRPr="006715A7">
        <w:rPr>
          <w:rFonts w:ascii="Times New Roman" w:hAnsi="Times New Roman" w:cs="Times New Roman"/>
          <w:sz w:val="24"/>
          <w:szCs w:val="24"/>
        </w:rPr>
        <w:t> </w:t>
      </w:r>
      <w:r w:rsidR="00283F46" w:rsidRPr="006715A7">
        <w:rPr>
          <w:rFonts w:ascii="Times New Roman" w:hAnsi="Times New Roman" w:cs="Times New Roman"/>
          <w:sz w:val="24"/>
          <w:szCs w:val="24"/>
        </w:rPr>
        <w:t>d. įsakymu Nr.</w:t>
      </w:r>
      <w:r w:rsidR="00800BAB" w:rsidRPr="006715A7">
        <w:rPr>
          <w:rFonts w:ascii="Times New Roman" w:hAnsi="Times New Roman" w:cs="Times New Roman"/>
          <w:sz w:val="24"/>
          <w:szCs w:val="24"/>
        </w:rPr>
        <w:t> </w:t>
      </w:r>
      <w:r w:rsidR="00283F46" w:rsidRPr="006715A7">
        <w:rPr>
          <w:rFonts w:ascii="Times New Roman" w:hAnsi="Times New Roman" w:cs="Times New Roman"/>
          <w:sz w:val="24"/>
          <w:szCs w:val="24"/>
        </w:rPr>
        <w:t>V-943 „</w:t>
      </w:r>
      <w:r w:rsidR="00283F46" w:rsidRPr="006715A7">
        <w:rPr>
          <w:rFonts w:ascii="Times New Roman" w:hAnsi="Times New Roman" w:cs="Times New Roman"/>
          <w:color w:val="000000"/>
          <w:sz w:val="24"/>
          <w:szCs w:val="24"/>
        </w:rPr>
        <w:t xml:space="preserve">Dėl pirminės ambulatorinės asmens sveikatos priežiūros paslaugų teikimo organizavimo ir šių paslaugų išlaidų apmokėjimo tvarkos aprašo tvirtinimo“ patvirtintos pirminės ambulatorinės asmens sveikatos priežiūros paslaugos, už kurias įstaigoms mokamas skatinamasis priedas. </w:t>
      </w:r>
      <w:r w:rsidR="00283F46" w:rsidRPr="006715A7">
        <w:rPr>
          <w:rFonts w:ascii="Times New Roman" w:hAnsi="Times New Roman" w:cs="Times New Roman"/>
          <w:sz w:val="24"/>
          <w:szCs w:val="24"/>
        </w:rPr>
        <w:t xml:space="preserve">Vadovaujantis TLK ir </w:t>
      </w:r>
      <w:r w:rsidR="000D6BEE" w:rsidRPr="006715A7">
        <w:rPr>
          <w:rFonts w:ascii="Times New Roman" w:hAnsi="Times New Roman" w:cs="Times New Roman"/>
          <w:sz w:val="24"/>
          <w:szCs w:val="24"/>
        </w:rPr>
        <w:t>ASPĮ</w:t>
      </w:r>
      <w:r w:rsidR="00283F46" w:rsidRPr="006715A7">
        <w:rPr>
          <w:rFonts w:ascii="Times New Roman" w:hAnsi="Times New Roman" w:cs="Times New Roman"/>
          <w:sz w:val="24"/>
          <w:szCs w:val="24"/>
        </w:rPr>
        <w:t xml:space="preserve"> sutartimis, TLK atlieka </w:t>
      </w:r>
      <w:r w:rsidR="00453A0D">
        <w:rPr>
          <w:rFonts w:ascii="Times New Roman" w:hAnsi="Times New Roman" w:cs="Times New Roman"/>
          <w:sz w:val="24"/>
          <w:szCs w:val="24"/>
        </w:rPr>
        <w:t>a</w:t>
      </w:r>
      <w:r w:rsidR="00283F46" w:rsidRPr="00661D65">
        <w:rPr>
          <w:rFonts w:ascii="Times New Roman" w:hAnsi="Times New Roman" w:cs="Times New Roman"/>
          <w:sz w:val="24"/>
          <w:szCs w:val="24"/>
        </w:rPr>
        <w:t>nkstyvosios</w:t>
      </w:r>
      <w:r w:rsidR="00283F46" w:rsidRPr="006715A7">
        <w:rPr>
          <w:rFonts w:ascii="Times New Roman" w:hAnsi="Times New Roman" w:cs="Times New Roman"/>
          <w:sz w:val="24"/>
          <w:szCs w:val="24"/>
        </w:rPr>
        <w:t xml:space="preserve"> piktybinių navikų diagnostikos paslaugos išankstinį vertinimą, t.</w:t>
      </w:r>
      <w:r w:rsidR="00800BAB" w:rsidRPr="006715A7">
        <w:rPr>
          <w:rFonts w:ascii="Times New Roman" w:hAnsi="Times New Roman" w:cs="Times New Roman"/>
          <w:sz w:val="24"/>
          <w:szCs w:val="24"/>
        </w:rPr>
        <w:t> </w:t>
      </w:r>
      <w:r w:rsidR="00283F46" w:rsidRPr="006715A7">
        <w:rPr>
          <w:rFonts w:ascii="Times New Roman" w:hAnsi="Times New Roman" w:cs="Times New Roman"/>
          <w:sz w:val="24"/>
          <w:szCs w:val="24"/>
        </w:rPr>
        <w:t xml:space="preserve">y. </w:t>
      </w:r>
      <w:r w:rsidR="000D6BEE" w:rsidRPr="006715A7">
        <w:rPr>
          <w:rFonts w:ascii="Times New Roman" w:hAnsi="Times New Roman" w:cs="Times New Roman"/>
          <w:sz w:val="24"/>
          <w:szCs w:val="24"/>
        </w:rPr>
        <w:t>ASPĮ</w:t>
      </w:r>
      <w:r w:rsidR="00283F46" w:rsidRPr="006715A7">
        <w:rPr>
          <w:rFonts w:ascii="Times New Roman" w:hAnsi="Times New Roman" w:cs="Times New Roman"/>
          <w:sz w:val="24"/>
          <w:szCs w:val="24"/>
        </w:rPr>
        <w:t xml:space="preserve"> pateikia TLK dokumentus, kuriuos įvertinus, nustatoma, ar piktybinių navikų diagnostikos atvejis atitinka įsakyme nurodytas sąlygas ir gali būti pateikiamas apmokėjimui iš PSDF biudžeto lėšų. Tokiu būdu užtikrinamas teisingas ankstyvosios piktybinių navikų diagnostikos paslaugų pateikimas apmokėti ir išvengiama galimos žalos PSDF biudžetui. Duomenys apie</w:t>
      </w:r>
      <w:r w:rsidR="00283F46" w:rsidRPr="006715A7">
        <w:rPr>
          <w:rFonts w:ascii="Times New Roman" w:hAnsi="Times New Roman" w:cs="Times New Roman"/>
          <w:bCs/>
          <w:sz w:val="24"/>
          <w:szCs w:val="24"/>
        </w:rPr>
        <w:t xml:space="preserve"> išvengtą žalą PSDF biudžetui dėl išankstinio dokumentų patikrinimo </w:t>
      </w:r>
      <w:r w:rsidR="000D6BEE" w:rsidRPr="006715A7">
        <w:rPr>
          <w:rFonts w:ascii="Times New Roman" w:hAnsi="Times New Roman" w:cs="Times New Roman"/>
          <w:bCs/>
          <w:sz w:val="24"/>
          <w:szCs w:val="24"/>
        </w:rPr>
        <w:t xml:space="preserve">ir statistinių kortelių ištaisymo </w:t>
      </w:r>
      <w:r w:rsidR="00283F46" w:rsidRPr="006715A7">
        <w:rPr>
          <w:rFonts w:ascii="Times New Roman" w:hAnsi="Times New Roman" w:cs="Times New Roman"/>
          <w:bCs/>
          <w:sz w:val="24"/>
          <w:szCs w:val="24"/>
        </w:rPr>
        <w:t xml:space="preserve">pateikiami </w:t>
      </w:r>
      <w:r w:rsidR="00D22EC1" w:rsidRPr="006715A7">
        <w:rPr>
          <w:rFonts w:ascii="Times New Roman" w:hAnsi="Times New Roman" w:cs="Times New Roman"/>
          <w:bCs/>
          <w:sz w:val="24"/>
          <w:szCs w:val="24"/>
        </w:rPr>
        <w:t>1</w:t>
      </w:r>
      <w:r w:rsidR="0024431D" w:rsidRPr="006715A7">
        <w:rPr>
          <w:rFonts w:ascii="Times New Roman" w:hAnsi="Times New Roman" w:cs="Times New Roman"/>
          <w:bCs/>
          <w:sz w:val="24"/>
          <w:szCs w:val="24"/>
        </w:rPr>
        <w:t> </w:t>
      </w:r>
      <w:r w:rsidR="00283F46" w:rsidRPr="006715A7">
        <w:rPr>
          <w:rFonts w:ascii="Times New Roman" w:hAnsi="Times New Roman" w:cs="Times New Roman"/>
          <w:bCs/>
          <w:sz w:val="24"/>
          <w:szCs w:val="24"/>
        </w:rPr>
        <w:t xml:space="preserve">lentelėje. </w:t>
      </w:r>
    </w:p>
    <w:p w14:paraId="630C5398" w14:textId="77777777" w:rsidR="0060544F" w:rsidRPr="00661D65" w:rsidRDefault="0060544F" w:rsidP="00283F46">
      <w:pPr>
        <w:tabs>
          <w:tab w:val="left" w:pos="709"/>
        </w:tabs>
        <w:spacing w:after="0" w:line="240" w:lineRule="auto"/>
        <w:jc w:val="both"/>
        <w:rPr>
          <w:rFonts w:ascii="Times New Roman" w:hAnsi="Times New Roman" w:cs="Times New Roman"/>
          <w:i/>
          <w:sz w:val="24"/>
          <w:szCs w:val="24"/>
        </w:rPr>
      </w:pPr>
    </w:p>
    <w:p w14:paraId="686A10FC" w14:textId="115E205D" w:rsidR="00283F46" w:rsidRPr="00661D65" w:rsidRDefault="00D22EC1" w:rsidP="00283F46">
      <w:pPr>
        <w:tabs>
          <w:tab w:val="left" w:pos="709"/>
        </w:tabs>
        <w:spacing w:after="0" w:line="240" w:lineRule="auto"/>
        <w:jc w:val="both"/>
        <w:rPr>
          <w:rFonts w:ascii="Times New Roman" w:hAnsi="Times New Roman" w:cs="Times New Roman"/>
          <w:i/>
          <w:sz w:val="24"/>
          <w:szCs w:val="24"/>
        </w:rPr>
      </w:pPr>
      <w:r w:rsidRPr="00661D65">
        <w:rPr>
          <w:rFonts w:ascii="Times New Roman" w:hAnsi="Times New Roman" w:cs="Times New Roman"/>
          <w:i/>
          <w:sz w:val="24"/>
          <w:szCs w:val="24"/>
        </w:rPr>
        <w:t>1</w:t>
      </w:r>
      <w:r w:rsidR="00283F46" w:rsidRPr="00661D65">
        <w:rPr>
          <w:rFonts w:ascii="Times New Roman" w:hAnsi="Times New Roman" w:cs="Times New Roman"/>
          <w:i/>
          <w:sz w:val="24"/>
          <w:szCs w:val="24"/>
        </w:rPr>
        <w:t xml:space="preserve"> lentelė. Duomenys apie išvengtą žalą PSDF biudžetui </w:t>
      </w:r>
    </w:p>
    <w:tbl>
      <w:tblPr>
        <w:tblStyle w:val="1tinkleliolentelviesi-1parykinimas"/>
        <w:tblW w:w="9634" w:type="dxa"/>
        <w:tblLayout w:type="fixed"/>
        <w:tblLook w:val="04A0" w:firstRow="1" w:lastRow="0" w:firstColumn="1" w:lastColumn="0" w:noHBand="0" w:noVBand="1"/>
      </w:tblPr>
      <w:tblGrid>
        <w:gridCol w:w="1134"/>
        <w:gridCol w:w="2689"/>
        <w:gridCol w:w="2551"/>
        <w:gridCol w:w="3260"/>
      </w:tblGrid>
      <w:tr w:rsidR="00283F46" w:rsidRPr="00157C0B" w14:paraId="28796E46" w14:textId="77777777" w:rsidTr="00D21B6E">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134" w:type="dxa"/>
            <w:shd w:val="clear" w:color="auto" w:fill="D9E2F3" w:themeFill="accent1" w:themeFillTint="33"/>
            <w:vAlign w:val="center"/>
          </w:tcPr>
          <w:p w14:paraId="481A7CF9" w14:textId="77777777" w:rsidR="00283F46" w:rsidRPr="00157C0B" w:rsidRDefault="00283F46" w:rsidP="00D21B6E">
            <w:pPr>
              <w:pStyle w:val="Default"/>
              <w:jc w:val="center"/>
              <w:rPr>
                <w:rFonts w:eastAsia="Times New Roman"/>
                <w:b w:val="0"/>
                <w:bCs w:val="0"/>
                <w:color w:val="auto"/>
                <w:sz w:val="20"/>
                <w:szCs w:val="20"/>
              </w:rPr>
            </w:pPr>
            <w:r w:rsidRPr="00157C0B">
              <w:rPr>
                <w:rFonts w:eastAsia="Times New Roman"/>
                <w:color w:val="auto"/>
                <w:sz w:val="20"/>
                <w:szCs w:val="20"/>
              </w:rPr>
              <w:t>TLK</w:t>
            </w:r>
          </w:p>
        </w:tc>
        <w:tc>
          <w:tcPr>
            <w:tcW w:w="2689" w:type="dxa"/>
            <w:shd w:val="clear" w:color="auto" w:fill="D9E2F3" w:themeFill="accent1" w:themeFillTint="33"/>
            <w:vAlign w:val="center"/>
          </w:tcPr>
          <w:p w14:paraId="3B3925BD" w14:textId="2A5ECC71" w:rsidR="00283F46" w:rsidRPr="00157C0B" w:rsidRDefault="00283F46" w:rsidP="00D21B6E">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bCs w:val="0"/>
                <w:sz w:val="20"/>
                <w:szCs w:val="20"/>
              </w:rPr>
              <w:t xml:space="preserve">Dėl išankstinio dokumentų patikrinimo išvengtos žalos PSDF biudžetui dydis </w:t>
            </w:r>
          </w:p>
        </w:tc>
        <w:tc>
          <w:tcPr>
            <w:tcW w:w="2551" w:type="dxa"/>
            <w:shd w:val="clear" w:color="auto" w:fill="D9E2F3" w:themeFill="accent1" w:themeFillTint="33"/>
            <w:vAlign w:val="center"/>
          </w:tcPr>
          <w:p w14:paraId="1A698FDD" w14:textId="77777777" w:rsidR="00283F46" w:rsidRPr="00157C0B" w:rsidRDefault="00283F46" w:rsidP="00D21B6E">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 xml:space="preserve">Dėl statistinių kortelių stebėsenos ir taisymo išvengtos žalos PSDF biudžetui dydis </w:t>
            </w:r>
          </w:p>
        </w:tc>
        <w:tc>
          <w:tcPr>
            <w:tcW w:w="3260" w:type="dxa"/>
            <w:shd w:val="clear" w:color="auto" w:fill="D9E2F3" w:themeFill="accent1" w:themeFillTint="33"/>
            <w:vAlign w:val="center"/>
          </w:tcPr>
          <w:p w14:paraId="5EC0E0B5" w14:textId="77777777" w:rsidR="00283F46" w:rsidRPr="00157C0B" w:rsidRDefault="00283F46" w:rsidP="00D21B6E">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 xml:space="preserve">Bendras išvengtos žalos PSDF biudžetui dydis </w:t>
            </w:r>
          </w:p>
        </w:tc>
      </w:tr>
      <w:tr w:rsidR="00283F46" w:rsidRPr="00157C0B" w14:paraId="7F0FA8F9" w14:textId="77777777" w:rsidTr="00D21B6E">
        <w:trPr>
          <w:trHeight w:val="264"/>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55884A32" w14:textId="77777777" w:rsidR="00283F46" w:rsidRPr="00157C0B" w:rsidRDefault="00283F46" w:rsidP="00D21B6E">
            <w:pPr>
              <w:pStyle w:val="Default"/>
              <w:rPr>
                <w:rFonts w:eastAsia="Times New Roman"/>
                <w:b w:val="0"/>
                <w:bCs w:val="0"/>
                <w:color w:val="auto"/>
                <w:sz w:val="20"/>
              </w:rPr>
            </w:pPr>
            <w:r w:rsidRPr="00157C0B">
              <w:rPr>
                <w:rFonts w:eastAsia="Times New Roman"/>
                <w:color w:val="auto"/>
                <w:sz w:val="20"/>
              </w:rPr>
              <w:t>Vilniaus</w:t>
            </w:r>
          </w:p>
        </w:tc>
        <w:tc>
          <w:tcPr>
            <w:tcW w:w="2689" w:type="dxa"/>
            <w:vAlign w:val="center"/>
          </w:tcPr>
          <w:p w14:paraId="6893470A" w14:textId="281654A8" w:rsidR="00283F46" w:rsidRPr="00661D65" w:rsidRDefault="00800BAB" w:rsidP="0055698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66 593,16</w:t>
            </w:r>
          </w:p>
        </w:tc>
        <w:tc>
          <w:tcPr>
            <w:tcW w:w="2551" w:type="dxa"/>
            <w:vAlign w:val="center"/>
          </w:tcPr>
          <w:p w14:paraId="75193388" w14:textId="5584D2CC" w:rsidR="00283F46" w:rsidRPr="00157C0B" w:rsidRDefault="008759D5" w:rsidP="0055698D">
            <w:pPr>
              <w:pStyle w:val="Default"/>
              <w:jc w:val="right"/>
              <w:cnfStyle w:val="000000000000" w:firstRow="0" w:lastRow="0" w:firstColumn="0" w:lastColumn="0" w:oddVBand="0" w:evenVBand="0" w:oddHBand="0" w:evenHBand="0" w:firstRowFirstColumn="0" w:firstRowLastColumn="0" w:lastRowFirstColumn="0" w:lastRowLastColumn="0"/>
              <w:rPr>
                <w:b/>
                <w:bCs/>
                <w:color w:val="auto"/>
                <w:sz w:val="20"/>
                <w:highlight w:val="yellow"/>
              </w:rPr>
            </w:pPr>
            <w:r w:rsidRPr="00157C0B">
              <w:rPr>
                <w:color w:val="auto"/>
                <w:sz w:val="20"/>
              </w:rPr>
              <w:t>1 895 721,00</w:t>
            </w:r>
          </w:p>
        </w:tc>
        <w:tc>
          <w:tcPr>
            <w:tcW w:w="3260" w:type="dxa"/>
            <w:vAlign w:val="center"/>
          </w:tcPr>
          <w:p w14:paraId="62DACDA2" w14:textId="0C57A138" w:rsidR="00283F46" w:rsidRPr="00157C0B" w:rsidRDefault="008759D5" w:rsidP="0055698D">
            <w:pPr>
              <w:pStyle w:val="Default"/>
              <w:jc w:val="right"/>
              <w:cnfStyle w:val="000000000000" w:firstRow="0" w:lastRow="0" w:firstColumn="0" w:lastColumn="0" w:oddVBand="0" w:evenVBand="0" w:oddHBand="0" w:evenHBand="0" w:firstRowFirstColumn="0" w:firstRowLastColumn="0" w:lastRowFirstColumn="0" w:lastRowLastColumn="0"/>
              <w:rPr>
                <w:b/>
                <w:bCs/>
                <w:color w:val="auto"/>
                <w:sz w:val="20"/>
              </w:rPr>
            </w:pPr>
            <w:r w:rsidRPr="00157C0B">
              <w:rPr>
                <w:b/>
                <w:bCs/>
                <w:color w:val="auto"/>
                <w:sz w:val="20"/>
              </w:rPr>
              <w:t>1 962 314,16</w:t>
            </w:r>
          </w:p>
        </w:tc>
      </w:tr>
      <w:tr w:rsidR="00283F46" w:rsidRPr="00157C0B" w14:paraId="130F2B31" w14:textId="77777777" w:rsidTr="00D21B6E">
        <w:trPr>
          <w:trHeight w:val="167"/>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16D25298" w14:textId="77777777" w:rsidR="00283F46" w:rsidRPr="00157C0B" w:rsidRDefault="00283F46" w:rsidP="00D21B6E">
            <w:pPr>
              <w:pStyle w:val="Default"/>
              <w:rPr>
                <w:rFonts w:eastAsia="Times New Roman"/>
                <w:b w:val="0"/>
                <w:bCs w:val="0"/>
                <w:color w:val="auto"/>
                <w:sz w:val="20"/>
              </w:rPr>
            </w:pPr>
            <w:r w:rsidRPr="00157C0B">
              <w:rPr>
                <w:rFonts w:eastAsia="Times New Roman"/>
                <w:color w:val="auto"/>
                <w:sz w:val="20"/>
              </w:rPr>
              <w:t>Kauno</w:t>
            </w:r>
          </w:p>
        </w:tc>
        <w:tc>
          <w:tcPr>
            <w:tcW w:w="2689" w:type="dxa"/>
            <w:vAlign w:val="center"/>
          </w:tcPr>
          <w:p w14:paraId="1DB747B2" w14:textId="7A70641C" w:rsidR="00283F46" w:rsidRPr="00661D65" w:rsidRDefault="00800BAB" w:rsidP="0055698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154 991,16</w:t>
            </w:r>
          </w:p>
        </w:tc>
        <w:tc>
          <w:tcPr>
            <w:tcW w:w="2551" w:type="dxa"/>
            <w:vAlign w:val="center"/>
          </w:tcPr>
          <w:p w14:paraId="1B462D2A" w14:textId="5E6F4F80" w:rsidR="00283F46" w:rsidRPr="00157C0B" w:rsidRDefault="008759D5" w:rsidP="0055698D">
            <w:pPr>
              <w:pStyle w:val="Default"/>
              <w:jc w:val="right"/>
              <w:cnfStyle w:val="000000000000" w:firstRow="0" w:lastRow="0" w:firstColumn="0" w:lastColumn="0" w:oddVBand="0" w:evenVBand="0" w:oddHBand="0" w:evenHBand="0" w:firstRowFirstColumn="0" w:firstRowLastColumn="0" w:lastRowFirstColumn="0" w:lastRowLastColumn="0"/>
              <w:rPr>
                <w:b/>
                <w:bCs/>
                <w:color w:val="auto"/>
                <w:sz w:val="20"/>
              </w:rPr>
            </w:pPr>
            <w:r w:rsidRPr="00157C0B">
              <w:rPr>
                <w:color w:val="auto"/>
                <w:sz w:val="20"/>
              </w:rPr>
              <w:t>2 961 569,38</w:t>
            </w:r>
          </w:p>
        </w:tc>
        <w:tc>
          <w:tcPr>
            <w:tcW w:w="3260" w:type="dxa"/>
            <w:vAlign w:val="center"/>
          </w:tcPr>
          <w:p w14:paraId="6E3F7241" w14:textId="4CA87133" w:rsidR="00283F46" w:rsidRPr="00157C0B" w:rsidRDefault="008759D5" w:rsidP="0055698D">
            <w:pPr>
              <w:pStyle w:val="Default"/>
              <w:jc w:val="right"/>
              <w:cnfStyle w:val="000000000000" w:firstRow="0" w:lastRow="0" w:firstColumn="0" w:lastColumn="0" w:oddVBand="0" w:evenVBand="0" w:oddHBand="0" w:evenHBand="0" w:firstRowFirstColumn="0" w:firstRowLastColumn="0" w:lastRowFirstColumn="0" w:lastRowLastColumn="0"/>
              <w:rPr>
                <w:b/>
                <w:bCs/>
                <w:color w:val="auto"/>
                <w:sz w:val="20"/>
              </w:rPr>
            </w:pPr>
            <w:r w:rsidRPr="00157C0B">
              <w:rPr>
                <w:b/>
                <w:bCs/>
                <w:color w:val="auto"/>
                <w:sz w:val="20"/>
              </w:rPr>
              <w:t>3 116 560,54</w:t>
            </w:r>
          </w:p>
        </w:tc>
      </w:tr>
      <w:tr w:rsidR="00283F46" w:rsidRPr="00157C0B" w14:paraId="7EA91047" w14:textId="77777777" w:rsidTr="00D21B6E">
        <w:trPr>
          <w:trHeight w:val="164"/>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47F8A8C7" w14:textId="77777777" w:rsidR="00283F46" w:rsidRPr="00157C0B" w:rsidRDefault="00283F46" w:rsidP="00D21B6E">
            <w:pPr>
              <w:pStyle w:val="Default"/>
              <w:rPr>
                <w:rFonts w:eastAsia="Times New Roman"/>
                <w:b w:val="0"/>
                <w:bCs w:val="0"/>
                <w:color w:val="auto"/>
                <w:sz w:val="20"/>
              </w:rPr>
            </w:pPr>
            <w:r w:rsidRPr="00157C0B">
              <w:rPr>
                <w:rFonts w:eastAsia="Times New Roman"/>
                <w:color w:val="auto"/>
                <w:sz w:val="20"/>
              </w:rPr>
              <w:t>Klaipėdos</w:t>
            </w:r>
          </w:p>
        </w:tc>
        <w:tc>
          <w:tcPr>
            <w:tcW w:w="2689" w:type="dxa"/>
            <w:vAlign w:val="center"/>
          </w:tcPr>
          <w:p w14:paraId="296FBA0E" w14:textId="160D6B04" w:rsidR="00283F46" w:rsidRPr="00661D65" w:rsidRDefault="00800BAB" w:rsidP="0055698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35 359,20</w:t>
            </w:r>
          </w:p>
        </w:tc>
        <w:tc>
          <w:tcPr>
            <w:tcW w:w="2551" w:type="dxa"/>
            <w:vAlign w:val="center"/>
          </w:tcPr>
          <w:p w14:paraId="3E4163CF" w14:textId="1CB99D54" w:rsidR="00283F46" w:rsidRPr="00157C0B" w:rsidRDefault="008759D5" w:rsidP="0055698D">
            <w:pPr>
              <w:pStyle w:val="Default"/>
              <w:jc w:val="right"/>
              <w:cnfStyle w:val="000000000000" w:firstRow="0" w:lastRow="0" w:firstColumn="0" w:lastColumn="0" w:oddVBand="0" w:evenVBand="0" w:oddHBand="0" w:evenHBand="0" w:firstRowFirstColumn="0" w:firstRowLastColumn="0" w:lastRowFirstColumn="0" w:lastRowLastColumn="0"/>
              <w:rPr>
                <w:b/>
                <w:bCs/>
                <w:color w:val="auto"/>
                <w:sz w:val="20"/>
              </w:rPr>
            </w:pPr>
            <w:r w:rsidRPr="00157C0B">
              <w:rPr>
                <w:color w:val="auto"/>
                <w:sz w:val="20"/>
              </w:rPr>
              <w:t>401 379,15</w:t>
            </w:r>
          </w:p>
        </w:tc>
        <w:tc>
          <w:tcPr>
            <w:tcW w:w="3260" w:type="dxa"/>
            <w:vAlign w:val="center"/>
          </w:tcPr>
          <w:p w14:paraId="6D9EC2EE" w14:textId="547B1D3B" w:rsidR="00283F46" w:rsidRPr="00157C0B" w:rsidRDefault="008759D5" w:rsidP="0055698D">
            <w:pPr>
              <w:pStyle w:val="Default"/>
              <w:jc w:val="right"/>
              <w:cnfStyle w:val="000000000000" w:firstRow="0" w:lastRow="0" w:firstColumn="0" w:lastColumn="0" w:oddVBand="0" w:evenVBand="0" w:oddHBand="0" w:evenHBand="0" w:firstRowFirstColumn="0" w:firstRowLastColumn="0" w:lastRowFirstColumn="0" w:lastRowLastColumn="0"/>
              <w:rPr>
                <w:b/>
                <w:bCs/>
                <w:color w:val="auto"/>
                <w:sz w:val="20"/>
              </w:rPr>
            </w:pPr>
            <w:r w:rsidRPr="00157C0B">
              <w:rPr>
                <w:b/>
                <w:bCs/>
                <w:color w:val="auto"/>
                <w:sz w:val="20"/>
              </w:rPr>
              <w:t>436 738,35</w:t>
            </w:r>
          </w:p>
        </w:tc>
      </w:tr>
      <w:tr w:rsidR="00283F46" w:rsidRPr="00157C0B" w14:paraId="09B1CF69" w14:textId="77777777" w:rsidTr="00D21B6E">
        <w:trPr>
          <w:trHeight w:val="139"/>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36E282AF" w14:textId="77777777" w:rsidR="00283F46" w:rsidRPr="00157C0B" w:rsidRDefault="00283F46" w:rsidP="00D21B6E">
            <w:pPr>
              <w:pStyle w:val="Default"/>
              <w:rPr>
                <w:rFonts w:eastAsia="Times New Roman"/>
                <w:b w:val="0"/>
                <w:bCs w:val="0"/>
                <w:color w:val="auto"/>
                <w:sz w:val="20"/>
              </w:rPr>
            </w:pPr>
            <w:r w:rsidRPr="00157C0B">
              <w:rPr>
                <w:rFonts w:eastAsia="Times New Roman"/>
                <w:color w:val="auto"/>
                <w:sz w:val="20"/>
              </w:rPr>
              <w:lastRenderedPageBreak/>
              <w:t>Šiaulių</w:t>
            </w:r>
          </w:p>
        </w:tc>
        <w:tc>
          <w:tcPr>
            <w:tcW w:w="2689" w:type="dxa"/>
            <w:vAlign w:val="center"/>
          </w:tcPr>
          <w:p w14:paraId="2ABC360A" w14:textId="32D0C991" w:rsidR="00283F46" w:rsidRPr="00661D65" w:rsidRDefault="00800BAB" w:rsidP="0055698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31 823,28</w:t>
            </w:r>
          </w:p>
        </w:tc>
        <w:tc>
          <w:tcPr>
            <w:tcW w:w="2551" w:type="dxa"/>
            <w:vAlign w:val="center"/>
          </w:tcPr>
          <w:p w14:paraId="1171D588" w14:textId="162BDF55" w:rsidR="00283F46" w:rsidRPr="00157C0B" w:rsidRDefault="008759D5" w:rsidP="0055698D">
            <w:pPr>
              <w:pStyle w:val="Default"/>
              <w:jc w:val="right"/>
              <w:cnfStyle w:val="000000000000" w:firstRow="0" w:lastRow="0" w:firstColumn="0" w:lastColumn="0" w:oddVBand="0" w:evenVBand="0" w:oddHBand="0" w:evenHBand="0" w:firstRowFirstColumn="0" w:firstRowLastColumn="0" w:lastRowFirstColumn="0" w:lastRowLastColumn="0"/>
              <w:rPr>
                <w:b/>
                <w:bCs/>
                <w:color w:val="auto"/>
                <w:sz w:val="20"/>
              </w:rPr>
            </w:pPr>
            <w:r w:rsidRPr="00157C0B">
              <w:rPr>
                <w:color w:val="auto"/>
                <w:sz w:val="20"/>
              </w:rPr>
              <w:t>289 495,34</w:t>
            </w:r>
          </w:p>
        </w:tc>
        <w:tc>
          <w:tcPr>
            <w:tcW w:w="3260" w:type="dxa"/>
            <w:vAlign w:val="center"/>
          </w:tcPr>
          <w:p w14:paraId="57198936" w14:textId="64B5DA1E" w:rsidR="00283F46" w:rsidRPr="00157C0B" w:rsidRDefault="008759D5" w:rsidP="0055698D">
            <w:pPr>
              <w:pStyle w:val="Default"/>
              <w:jc w:val="right"/>
              <w:cnfStyle w:val="000000000000" w:firstRow="0" w:lastRow="0" w:firstColumn="0" w:lastColumn="0" w:oddVBand="0" w:evenVBand="0" w:oddHBand="0" w:evenHBand="0" w:firstRowFirstColumn="0" w:firstRowLastColumn="0" w:lastRowFirstColumn="0" w:lastRowLastColumn="0"/>
              <w:rPr>
                <w:b/>
                <w:bCs/>
                <w:color w:val="auto"/>
                <w:sz w:val="20"/>
              </w:rPr>
            </w:pPr>
            <w:r w:rsidRPr="00157C0B">
              <w:rPr>
                <w:b/>
                <w:bCs/>
                <w:color w:val="auto"/>
                <w:sz w:val="20"/>
              </w:rPr>
              <w:t>321 318,62</w:t>
            </w:r>
          </w:p>
        </w:tc>
      </w:tr>
      <w:tr w:rsidR="00283F46" w:rsidRPr="00157C0B" w14:paraId="3E6AEA29" w14:textId="77777777" w:rsidTr="00D21B6E">
        <w:trPr>
          <w:trHeight w:val="179"/>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056EAD1D" w14:textId="77777777" w:rsidR="00283F46" w:rsidRPr="00157C0B" w:rsidRDefault="00283F46" w:rsidP="00D21B6E">
            <w:pPr>
              <w:pStyle w:val="Default"/>
              <w:rPr>
                <w:rFonts w:eastAsia="Times New Roman"/>
                <w:b w:val="0"/>
                <w:bCs w:val="0"/>
                <w:color w:val="auto"/>
                <w:sz w:val="20"/>
              </w:rPr>
            </w:pPr>
            <w:r w:rsidRPr="00157C0B">
              <w:rPr>
                <w:rFonts w:eastAsia="Times New Roman"/>
                <w:color w:val="auto"/>
                <w:sz w:val="20"/>
              </w:rPr>
              <w:t>Panevėžio</w:t>
            </w:r>
          </w:p>
        </w:tc>
        <w:tc>
          <w:tcPr>
            <w:tcW w:w="2689" w:type="dxa"/>
            <w:vAlign w:val="center"/>
          </w:tcPr>
          <w:p w14:paraId="01F3ED55" w14:textId="470F5FAA" w:rsidR="00283F46" w:rsidRPr="00661D65" w:rsidRDefault="00800BAB" w:rsidP="0055698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29 794,91</w:t>
            </w:r>
          </w:p>
        </w:tc>
        <w:tc>
          <w:tcPr>
            <w:tcW w:w="2551" w:type="dxa"/>
            <w:vAlign w:val="center"/>
          </w:tcPr>
          <w:p w14:paraId="05E48769" w14:textId="47F346D7" w:rsidR="00283F46" w:rsidRPr="00157C0B" w:rsidRDefault="008759D5" w:rsidP="0055698D">
            <w:pPr>
              <w:pStyle w:val="Default"/>
              <w:jc w:val="right"/>
              <w:cnfStyle w:val="000000000000" w:firstRow="0" w:lastRow="0" w:firstColumn="0" w:lastColumn="0" w:oddVBand="0" w:evenVBand="0" w:oddHBand="0" w:evenHBand="0" w:firstRowFirstColumn="0" w:firstRowLastColumn="0" w:lastRowFirstColumn="0" w:lastRowLastColumn="0"/>
              <w:rPr>
                <w:b/>
                <w:bCs/>
                <w:color w:val="auto"/>
                <w:sz w:val="20"/>
              </w:rPr>
            </w:pPr>
            <w:r w:rsidRPr="00157C0B">
              <w:rPr>
                <w:color w:val="auto"/>
                <w:sz w:val="20"/>
              </w:rPr>
              <w:t>491 201,38</w:t>
            </w:r>
          </w:p>
        </w:tc>
        <w:tc>
          <w:tcPr>
            <w:tcW w:w="3260" w:type="dxa"/>
            <w:vAlign w:val="center"/>
          </w:tcPr>
          <w:p w14:paraId="2B2B7D19" w14:textId="75C75F5A" w:rsidR="00283F46" w:rsidRPr="00157C0B" w:rsidRDefault="008759D5" w:rsidP="0055698D">
            <w:pPr>
              <w:pStyle w:val="Default"/>
              <w:jc w:val="right"/>
              <w:cnfStyle w:val="000000000000" w:firstRow="0" w:lastRow="0" w:firstColumn="0" w:lastColumn="0" w:oddVBand="0" w:evenVBand="0" w:oddHBand="0" w:evenHBand="0" w:firstRowFirstColumn="0" w:firstRowLastColumn="0" w:lastRowFirstColumn="0" w:lastRowLastColumn="0"/>
              <w:rPr>
                <w:b/>
                <w:bCs/>
                <w:color w:val="auto"/>
                <w:sz w:val="20"/>
              </w:rPr>
            </w:pPr>
            <w:r w:rsidRPr="00157C0B">
              <w:rPr>
                <w:b/>
                <w:bCs/>
                <w:color w:val="auto"/>
                <w:sz w:val="20"/>
              </w:rPr>
              <w:t>520 996,29</w:t>
            </w:r>
          </w:p>
        </w:tc>
      </w:tr>
      <w:tr w:rsidR="00283F46" w:rsidRPr="00157C0B" w14:paraId="45BE5D9B" w14:textId="77777777" w:rsidTr="00D21B6E">
        <w:trPr>
          <w:trHeight w:val="93"/>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26A5F96E" w14:textId="77777777" w:rsidR="00283F46" w:rsidRPr="00157C0B" w:rsidRDefault="00283F46" w:rsidP="00D21B6E">
            <w:pPr>
              <w:pStyle w:val="Default"/>
              <w:jc w:val="right"/>
              <w:rPr>
                <w:rFonts w:eastAsia="Times New Roman"/>
                <w:b w:val="0"/>
                <w:bCs w:val="0"/>
                <w:color w:val="auto"/>
                <w:sz w:val="20"/>
              </w:rPr>
            </w:pPr>
            <w:r w:rsidRPr="00157C0B">
              <w:rPr>
                <w:rFonts w:eastAsia="Times New Roman"/>
                <w:color w:val="auto"/>
                <w:sz w:val="20"/>
              </w:rPr>
              <w:t>Iš viso</w:t>
            </w:r>
          </w:p>
        </w:tc>
        <w:tc>
          <w:tcPr>
            <w:tcW w:w="2689" w:type="dxa"/>
            <w:vAlign w:val="center"/>
          </w:tcPr>
          <w:p w14:paraId="485EBA8A" w14:textId="0CA27664" w:rsidR="00283F46" w:rsidRPr="00967E8C" w:rsidRDefault="00800BAB" w:rsidP="00800BAB">
            <w:pPr>
              <w:pStyle w:val="Default"/>
              <w:jc w:val="right"/>
              <w:cnfStyle w:val="000000000000" w:firstRow="0" w:lastRow="0" w:firstColumn="0" w:lastColumn="0" w:oddVBand="0" w:evenVBand="0" w:oddHBand="0" w:evenHBand="0" w:firstRowFirstColumn="0" w:firstRowLastColumn="0" w:lastRowFirstColumn="0" w:lastRowLastColumn="0"/>
              <w:rPr>
                <w:b/>
                <w:color w:val="auto"/>
                <w:sz w:val="20"/>
              </w:rPr>
            </w:pPr>
            <w:r w:rsidRPr="00967E8C">
              <w:rPr>
                <w:b/>
                <w:color w:val="auto"/>
                <w:sz w:val="20"/>
              </w:rPr>
              <w:t>318 561,71</w:t>
            </w:r>
          </w:p>
        </w:tc>
        <w:tc>
          <w:tcPr>
            <w:tcW w:w="2551" w:type="dxa"/>
            <w:vAlign w:val="center"/>
          </w:tcPr>
          <w:p w14:paraId="75272835" w14:textId="3BAA6AE8" w:rsidR="00283F46" w:rsidRPr="00157C0B" w:rsidRDefault="008759D5" w:rsidP="00800BAB">
            <w:pPr>
              <w:pStyle w:val="Default"/>
              <w:jc w:val="right"/>
              <w:cnfStyle w:val="000000000000" w:firstRow="0" w:lastRow="0" w:firstColumn="0" w:lastColumn="0" w:oddVBand="0" w:evenVBand="0" w:oddHBand="0" w:evenHBand="0" w:firstRowFirstColumn="0" w:firstRowLastColumn="0" w:lastRowFirstColumn="0" w:lastRowLastColumn="0"/>
              <w:rPr>
                <w:b/>
                <w:bCs/>
                <w:color w:val="auto"/>
                <w:sz w:val="20"/>
              </w:rPr>
            </w:pPr>
            <w:r w:rsidRPr="00967E8C">
              <w:rPr>
                <w:b/>
                <w:color w:val="auto"/>
                <w:sz w:val="20"/>
              </w:rPr>
              <w:t>6 039 366,25</w:t>
            </w:r>
          </w:p>
        </w:tc>
        <w:tc>
          <w:tcPr>
            <w:tcW w:w="3260" w:type="dxa"/>
            <w:vAlign w:val="center"/>
          </w:tcPr>
          <w:p w14:paraId="7A3E5E8E" w14:textId="55508307" w:rsidR="00283F46" w:rsidRPr="00157C0B" w:rsidRDefault="008759D5" w:rsidP="00800BAB">
            <w:pPr>
              <w:pStyle w:val="Default"/>
              <w:jc w:val="right"/>
              <w:cnfStyle w:val="000000000000" w:firstRow="0" w:lastRow="0" w:firstColumn="0" w:lastColumn="0" w:oddVBand="0" w:evenVBand="0" w:oddHBand="0" w:evenHBand="0" w:firstRowFirstColumn="0" w:firstRowLastColumn="0" w:lastRowFirstColumn="0" w:lastRowLastColumn="0"/>
              <w:rPr>
                <w:b/>
                <w:bCs/>
                <w:color w:val="auto"/>
                <w:sz w:val="20"/>
              </w:rPr>
            </w:pPr>
            <w:r w:rsidRPr="00157C0B">
              <w:rPr>
                <w:b/>
                <w:bCs/>
                <w:color w:val="auto"/>
                <w:sz w:val="20"/>
              </w:rPr>
              <w:t>6 357 927,96</w:t>
            </w:r>
          </w:p>
        </w:tc>
      </w:tr>
    </w:tbl>
    <w:p w14:paraId="3319CC11" w14:textId="77777777" w:rsidR="00283F46" w:rsidRPr="00157C0B" w:rsidRDefault="00283F46" w:rsidP="00283F46">
      <w:pPr>
        <w:tabs>
          <w:tab w:val="left" w:pos="709"/>
        </w:tabs>
        <w:spacing w:after="0" w:line="240" w:lineRule="auto"/>
        <w:jc w:val="both"/>
        <w:rPr>
          <w:rFonts w:ascii="Times New Roman" w:hAnsi="Times New Roman" w:cs="Times New Roman"/>
          <w:bCs/>
          <w:sz w:val="24"/>
          <w:szCs w:val="24"/>
        </w:rPr>
      </w:pPr>
    </w:p>
    <w:p w14:paraId="7B908B3A" w14:textId="1A2D98FF" w:rsidR="00D22EC1" w:rsidRPr="00661D65" w:rsidRDefault="0060544F" w:rsidP="003E7E4E">
      <w:pPr>
        <w:spacing w:after="0" w:line="240" w:lineRule="auto"/>
        <w:ind w:firstLine="851"/>
        <w:jc w:val="both"/>
        <w:rPr>
          <w:rFonts w:ascii="Times New Roman" w:hAnsi="Times New Roman" w:cs="Times New Roman"/>
          <w:sz w:val="24"/>
          <w:szCs w:val="24"/>
        </w:rPr>
      </w:pPr>
      <w:r w:rsidRPr="00157C0B">
        <w:rPr>
          <w:rFonts w:ascii="Times New Roman" w:hAnsi="Times New Roman" w:cs="Times New Roman"/>
          <w:sz w:val="24"/>
          <w:szCs w:val="24"/>
        </w:rPr>
        <w:t>TLK atlieka tiek planines, tiek neplanines kontrolės procedūras. Kontrolės procedūrų skaičius 202</w:t>
      </w:r>
      <w:r w:rsidR="000721FC" w:rsidRPr="00157C0B">
        <w:rPr>
          <w:rFonts w:ascii="Times New Roman" w:hAnsi="Times New Roman" w:cs="Times New Roman"/>
          <w:sz w:val="24"/>
          <w:szCs w:val="24"/>
        </w:rPr>
        <w:t>4 </w:t>
      </w:r>
      <w:r w:rsidRPr="00157C0B">
        <w:rPr>
          <w:rFonts w:ascii="Times New Roman" w:hAnsi="Times New Roman" w:cs="Times New Roman"/>
          <w:sz w:val="24"/>
          <w:szCs w:val="24"/>
        </w:rPr>
        <w:t>m</w:t>
      </w:r>
      <w:r w:rsidRPr="00661D65">
        <w:rPr>
          <w:rFonts w:ascii="Times New Roman" w:hAnsi="Times New Roman" w:cs="Times New Roman"/>
          <w:sz w:val="24"/>
          <w:szCs w:val="24"/>
        </w:rPr>
        <w:t>.</w:t>
      </w:r>
      <w:r w:rsidR="00453A0D">
        <w:rPr>
          <w:rFonts w:ascii="Times New Roman" w:hAnsi="Times New Roman" w:cs="Times New Roman"/>
          <w:sz w:val="24"/>
          <w:szCs w:val="24"/>
        </w:rPr>
        <w:t>,</w:t>
      </w:r>
      <w:r w:rsidRPr="00157C0B">
        <w:rPr>
          <w:rFonts w:ascii="Times New Roman" w:hAnsi="Times New Roman" w:cs="Times New Roman"/>
          <w:sz w:val="24"/>
          <w:szCs w:val="24"/>
        </w:rPr>
        <w:t xml:space="preserve"> </w:t>
      </w:r>
      <w:r w:rsidR="00DC7105" w:rsidRPr="00157C0B">
        <w:rPr>
          <w:rFonts w:ascii="Times New Roman" w:hAnsi="Times New Roman" w:cs="Times New Roman"/>
          <w:sz w:val="24"/>
          <w:szCs w:val="24"/>
        </w:rPr>
        <w:t>lyginant su 202</w:t>
      </w:r>
      <w:r w:rsidR="000721FC" w:rsidRPr="00157C0B">
        <w:rPr>
          <w:rFonts w:ascii="Times New Roman" w:hAnsi="Times New Roman" w:cs="Times New Roman"/>
          <w:sz w:val="24"/>
          <w:szCs w:val="24"/>
        </w:rPr>
        <w:t>3 </w:t>
      </w:r>
      <w:r w:rsidR="00DC7105" w:rsidRPr="00157C0B">
        <w:rPr>
          <w:rFonts w:ascii="Times New Roman" w:hAnsi="Times New Roman" w:cs="Times New Roman"/>
          <w:sz w:val="24"/>
          <w:szCs w:val="24"/>
        </w:rPr>
        <w:t>m</w:t>
      </w:r>
      <w:r w:rsidR="00DC7105" w:rsidRPr="00661D65">
        <w:rPr>
          <w:rFonts w:ascii="Times New Roman" w:hAnsi="Times New Roman" w:cs="Times New Roman"/>
          <w:sz w:val="24"/>
          <w:szCs w:val="24"/>
        </w:rPr>
        <w:t>.</w:t>
      </w:r>
      <w:r w:rsidR="00453A0D">
        <w:rPr>
          <w:rFonts w:ascii="Times New Roman" w:hAnsi="Times New Roman" w:cs="Times New Roman"/>
          <w:sz w:val="24"/>
          <w:szCs w:val="24"/>
        </w:rPr>
        <w:t>,</w:t>
      </w:r>
      <w:r w:rsidR="00DC7105" w:rsidRPr="00157C0B">
        <w:rPr>
          <w:rFonts w:ascii="Times New Roman" w:hAnsi="Times New Roman" w:cs="Times New Roman"/>
          <w:sz w:val="24"/>
          <w:szCs w:val="24"/>
        </w:rPr>
        <w:t xml:space="preserve"> </w:t>
      </w:r>
      <w:r w:rsidR="000721FC" w:rsidRPr="00157C0B">
        <w:rPr>
          <w:rFonts w:ascii="Times New Roman" w:hAnsi="Times New Roman" w:cs="Times New Roman"/>
          <w:sz w:val="24"/>
          <w:szCs w:val="24"/>
        </w:rPr>
        <w:t>padidėjo 4</w:t>
      </w:r>
      <w:r w:rsidR="003E7E4E">
        <w:rPr>
          <w:rFonts w:ascii="Times New Roman" w:hAnsi="Times New Roman" w:cs="Times New Roman"/>
          <w:sz w:val="24"/>
          <w:szCs w:val="24"/>
        </w:rPr>
        <w:t>7</w:t>
      </w:r>
      <w:r w:rsidR="000721FC" w:rsidRPr="00157C0B">
        <w:rPr>
          <w:rFonts w:ascii="Times New Roman" w:hAnsi="Times New Roman" w:cs="Times New Roman"/>
          <w:sz w:val="24"/>
          <w:szCs w:val="24"/>
        </w:rPr>
        <w:t>,</w:t>
      </w:r>
      <w:r w:rsidR="000721FC" w:rsidRPr="005B3FAA">
        <w:rPr>
          <w:rFonts w:ascii="Times New Roman" w:hAnsi="Times New Roman" w:cs="Times New Roman"/>
          <w:sz w:val="24"/>
          <w:szCs w:val="24"/>
        </w:rPr>
        <w:t>1</w:t>
      </w:r>
      <w:r w:rsidR="000721FC" w:rsidRPr="00157C0B">
        <w:rPr>
          <w:rFonts w:ascii="Times New Roman" w:hAnsi="Times New Roman" w:cs="Times New Roman"/>
          <w:sz w:val="24"/>
          <w:szCs w:val="24"/>
        </w:rPr>
        <w:t> </w:t>
      </w:r>
      <w:r w:rsidR="00DC7105" w:rsidRPr="00157C0B">
        <w:rPr>
          <w:rFonts w:ascii="Times New Roman" w:hAnsi="Times New Roman" w:cs="Times New Roman"/>
          <w:sz w:val="24"/>
          <w:szCs w:val="24"/>
        </w:rPr>
        <w:t xml:space="preserve">proc. </w:t>
      </w:r>
      <w:r w:rsidR="00DC7105" w:rsidRPr="00157C0B">
        <w:rPr>
          <w:rFonts w:ascii="Times New Roman" w:hAnsi="Times New Roman" w:cs="Times New Roman"/>
          <w:bCs/>
          <w:sz w:val="24"/>
          <w:szCs w:val="24"/>
        </w:rPr>
        <w:t>(</w:t>
      </w:r>
      <w:r w:rsidR="000721FC" w:rsidRPr="00157C0B">
        <w:rPr>
          <w:rFonts w:ascii="Times New Roman" w:hAnsi="Times New Roman" w:cs="Times New Roman"/>
          <w:bCs/>
          <w:sz w:val="24"/>
          <w:szCs w:val="24"/>
        </w:rPr>
        <w:t xml:space="preserve">2024 </w:t>
      </w:r>
      <w:r w:rsidR="00DC7105" w:rsidRPr="00157C0B">
        <w:rPr>
          <w:rFonts w:ascii="Times New Roman" w:hAnsi="Times New Roman" w:cs="Times New Roman"/>
          <w:bCs/>
          <w:sz w:val="24"/>
          <w:szCs w:val="24"/>
        </w:rPr>
        <w:t xml:space="preserve">m. buvo atlikta </w:t>
      </w:r>
      <w:r w:rsidR="000721FC" w:rsidRPr="00157C0B">
        <w:rPr>
          <w:rFonts w:ascii="Times New Roman" w:hAnsi="Times New Roman" w:cs="Times New Roman"/>
          <w:bCs/>
          <w:sz w:val="24"/>
          <w:szCs w:val="24"/>
        </w:rPr>
        <w:t>4</w:t>
      </w:r>
      <w:r w:rsidR="003E7E4E">
        <w:rPr>
          <w:rFonts w:ascii="Times New Roman" w:hAnsi="Times New Roman" w:cs="Times New Roman"/>
          <w:bCs/>
          <w:sz w:val="24"/>
          <w:szCs w:val="24"/>
        </w:rPr>
        <w:t>37</w:t>
      </w:r>
      <w:r w:rsidR="000721FC" w:rsidRPr="00157C0B">
        <w:rPr>
          <w:rFonts w:ascii="Times New Roman" w:hAnsi="Times New Roman" w:cs="Times New Roman"/>
          <w:bCs/>
          <w:sz w:val="24"/>
          <w:szCs w:val="24"/>
        </w:rPr>
        <w:t xml:space="preserve"> </w:t>
      </w:r>
      <w:r w:rsidR="00DC7105" w:rsidRPr="00157C0B">
        <w:rPr>
          <w:rFonts w:ascii="Times New Roman" w:hAnsi="Times New Roman" w:cs="Times New Roman"/>
          <w:bCs/>
          <w:sz w:val="24"/>
          <w:szCs w:val="24"/>
        </w:rPr>
        <w:t xml:space="preserve">kontrolės procedūrų, o </w:t>
      </w:r>
      <w:r w:rsidR="000721FC" w:rsidRPr="00157C0B">
        <w:rPr>
          <w:rFonts w:ascii="Times New Roman" w:hAnsi="Times New Roman" w:cs="Times New Roman"/>
          <w:bCs/>
          <w:sz w:val="24"/>
          <w:szCs w:val="24"/>
        </w:rPr>
        <w:t xml:space="preserve">2023 </w:t>
      </w:r>
      <w:r w:rsidR="00DC7105" w:rsidRPr="00157C0B">
        <w:rPr>
          <w:rFonts w:ascii="Times New Roman" w:hAnsi="Times New Roman" w:cs="Times New Roman"/>
          <w:bCs/>
          <w:sz w:val="24"/>
          <w:szCs w:val="24"/>
        </w:rPr>
        <w:t xml:space="preserve">m. jų buvo </w:t>
      </w:r>
      <w:r w:rsidR="000721FC" w:rsidRPr="00157C0B">
        <w:rPr>
          <w:rFonts w:ascii="Times New Roman" w:hAnsi="Times New Roman" w:cs="Times New Roman"/>
          <w:bCs/>
          <w:sz w:val="24"/>
          <w:szCs w:val="24"/>
        </w:rPr>
        <w:t>297</w:t>
      </w:r>
      <w:r w:rsidR="00DC7105" w:rsidRPr="00157C0B">
        <w:rPr>
          <w:rFonts w:ascii="Times New Roman" w:hAnsi="Times New Roman" w:cs="Times New Roman"/>
          <w:bCs/>
          <w:sz w:val="24"/>
          <w:szCs w:val="24"/>
        </w:rPr>
        <w:t xml:space="preserve">). </w:t>
      </w:r>
      <w:r w:rsidR="00D22EC1" w:rsidRPr="00661D65">
        <w:rPr>
          <w:rFonts w:ascii="Times New Roman" w:hAnsi="Times New Roman" w:cs="Times New Roman"/>
          <w:sz w:val="24"/>
          <w:szCs w:val="24"/>
        </w:rPr>
        <w:t>Bendrieji TLK atliktų ūkio subjektų kontrolės procedūrų duomenys pateikiami 2</w:t>
      </w:r>
      <w:r w:rsidR="0024431D" w:rsidRPr="00661D65">
        <w:rPr>
          <w:rFonts w:ascii="Times New Roman" w:hAnsi="Times New Roman" w:cs="Times New Roman"/>
          <w:sz w:val="24"/>
          <w:szCs w:val="24"/>
        </w:rPr>
        <w:t> </w:t>
      </w:r>
      <w:r w:rsidR="00D22EC1" w:rsidRPr="00661D65">
        <w:rPr>
          <w:rFonts w:ascii="Times New Roman" w:hAnsi="Times New Roman" w:cs="Times New Roman"/>
          <w:sz w:val="24"/>
          <w:szCs w:val="24"/>
        </w:rPr>
        <w:t xml:space="preserve">lentelėje. </w:t>
      </w:r>
    </w:p>
    <w:p w14:paraId="3E10A593" w14:textId="77777777" w:rsidR="00DC7105" w:rsidRPr="00157C0B" w:rsidRDefault="00DC7105" w:rsidP="00283F46">
      <w:pPr>
        <w:tabs>
          <w:tab w:val="left" w:pos="709"/>
        </w:tabs>
        <w:spacing w:after="0" w:line="240" w:lineRule="auto"/>
        <w:jc w:val="both"/>
        <w:rPr>
          <w:rFonts w:ascii="Times New Roman" w:hAnsi="Times New Roman" w:cs="Times New Roman"/>
          <w:i/>
          <w:iCs/>
          <w:sz w:val="24"/>
          <w:szCs w:val="24"/>
        </w:rPr>
      </w:pPr>
    </w:p>
    <w:p w14:paraId="11CC85C3" w14:textId="535B62AA" w:rsidR="00D22EC1" w:rsidRPr="00157C0B" w:rsidRDefault="0060544F" w:rsidP="00283F46">
      <w:pPr>
        <w:tabs>
          <w:tab w:val="left" w:pos="709"/>
        </w:tabs>
        <w:spacing w:after="0" w:line="240" w:lineRule="auto"/>
        <w:jc w:val="both"/>
        <w:rPr>
          <w:rFonts w:ascii="Times New Roman" w:hAnsi="Times New Roman" w:cs="Times New Roman"/>
          <w:i/>
          <w:iCs/>
          <w:sz w:val="24"/>
          <w:szCs w:val="24"/>
        </w:rPr>
      </w:pPr>
      <w:r w:rsidRPr="00157C0B">
        <w:rPr>
          <w:rFonts w:ascii="Times New Roman" w:hAnsi="Times New Roman" w:cs="Times New Roman"/>
          <w:i/>
          <w:iCs/>
          <w:sz w:val="24"/>
          <w:szCs w:val="24"/>
        </w:rPr>
        <w:t>2 lentelė</w:t>
      </w:r>
      <w:r w:rsidR="006715A7">
        <w:rPr>
          <w:rFonts w:ascii="Times New Roman" w:hAnsi="Times New Roman" w:cs="Times New Roman"/>
          <w:i/>
          <w:iCs/>
          <w:sz w:val="24"/>
          <w:szCs w:val="24"/>
        </w:rPr>
        <w:t>.</w:t>
      </w:r>
      <w:r w:rsidRPr="00157C0B">
        <w:rPr>
          <w:rFonts w:ascii="Times New Roman" w:hAnsi="Times New Roman" w:cs="Times New Roman"/>
          <w:i/>
          <w:iCs/>
          <w:sz w:val="24"/>
          <w:szCs w:val="24"/>
        </w:rPr>
        <w:t xml:space="preserve"> Bendrieji kontrolės procedūrų duomenys</w:t>
      </w:r>
    </w:p>
    <w:tbl>
      <w:tblPr>
        <w:tblStyle w:val="1tinkleliolentelviesi-1parykinimas"/>
        <w:tblW w:w="9634" w:type="dxa"/>
        <w:tblLayout w:type="fixed"/>
        <w:tblLook w:val="04A0" w:firstRow="1" w:lastRow="0" w:firstColumn="1" w:lastColumn="0" w:noHBand="0" w:noVBand="1"/>
      </w:tblPr>
      <w:tblGrid>
        <w:gridCol w:w="1129"/>
        <w:gridCol w:w="1134"/>
        <w:gridCol w:w="2127"/>
        <w:gridCol w:w="2409"/>
        <w:gridCol w:w="2835"/>
      </w:tblGrid>
      <w:tr w:rsidR="00D22EC1" w:rsidRPr="00157C0B" w14:paraId="222253F5" w14:textId="77777777" w:rsidTr="00D22EC1">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129" w:type="dxa"/>
            <w:shd w:val="clear" w:color="auto" w:fill="D9E2F3" w:themeFill="accent1" w:themeFillTint="33"/>
            <w:vAlign w:val="center"/>
          </w:tcPr>
          <w:p w14:paraId="79E3DBF3" w14:textId="77777777" w:rsidR="00D22EC1" w:rsidRPr="00157C0B" w:rsidRDefault="00D22EC1" w:rsidP="001439F1">
            <w:pPr>
              <w:pStyle w:val="Default"/>
              <w:jc w:val="center"/>
              <w:rPr>
                <w:rFonts w:eastAsia="Times New Roman"/>
                <w:b w:val="0"/>
                <w:bCs w:val="0"/>
                <w:color w:val="auto"/>
                <w:sz w:val="20"/>
                <w:szCs w:val="20"/>
              </w:rPr>
            </w:pPr>
            <w:r w:rsidRPr="00157C0B">
              <w:rPr>
                <w:rFonts w:eastAsia="Times New Roman"/>
                <w:color w:val="auto"/>
                <w:sz w:val="20"/>
                <w:szCs w:val="20"/>
              </w:rPr>
              <w:t>TLK</w:t>
            </w:r>
          </w:p>
        </w:tc>
        <w:tc>
          <w:tcPr>
            <w:tcW w:w="1134" w:type="dxa"/>
            <w:shd w:val="clear" w:color="auto" w:fill="D9E2F3" w:themeFill="accent1" w:themeFillTint="33"/>
            <w:vAlign w:val="center"/>
          </w:tcPr>
          <w:p w14:paraId="3579F5F6" w14:textId="77777777" w:rsidR="00D22EC1" w:rsidRPr="00157C0B" w:rsidRDefault="00D22EC1" w:rsidP="001439F1">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Atliktų</w:t>
            </w:r>
          </w:p>
          <w:p w14:paraId="22DD9B70" w14:textId="77777777" w:rsidR="00D22EC1" w:rsidRPr="00157C0B" w:rsidRDefault="00D22EC1" w:rsidP="001439F1">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kontrolės procedūrų skaičius</w:t>
            </w:r>
          </w:p>
        </w:tc>
        <w:tc>
          <w:tcPr>
            <w:tcW w:w="2127" w:type="dxa"/>
            <w:shd w:val="clear" w:color="auto" w:fill="D9E2F3" w:themeFill="accent1" w:themeFillTint="33"/>
            <w:vAlign w:val="center"/>
          </w:tcPr>
          <w:p w14:paraId="2AA0CC97" w14:textId="77777777" w:rsidR="00D22EC1" w:rsidRPr="00157C0B" w:rsidRDefault="00D22EC1" w:rsidP="001439F1">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Planinių</w:t>
            </w:r>
          </w:p>
          <w:p w14:paraId="75D57978" w14:textId="77777777" w:rsidR="00D22EC1" w:rsidRPr="00157C0B" w:rsidRDefault="00D22EC1" w:rsidP="001439F1">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kontrolės procedūrų skaičius</w:t>
            </w:r>
          </w:p>
        </w:tc>
        <w:tc>
          <w:tcPr>
            <w:tcW w:w="2409" w:type="dxa"/>
            <w:shd w:val="clear" w:color="auto" w:fill="D9E2F3" w:themeFill="accent1" w:themeFillTint="33"/>
            <w:vAlign w:val="center"/>
          </w:tcPr>
          <w:p w14:paraId="19A1EEC7" w14:textId="77777777" w:rsidR="00D22EC1" w:rsidRPr="00157C0B" w:rsidRDefault="00D22EC1" w:rsidP="001439F1">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Kontrolės procedūrų,</w:t>
            </w:r>
          </w:p>
          <w:p w14:paraId="7451F745" w14:textId="77777777" w:rsidR="00D22EC1" w:rsidRPr="00157C0B" w:rsidRDefault="00D22EC1" w:rsidP="001439F1">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kai buvo nustatyta</w:t>
            </w:r>
          </w:p>
          <w:p w14:paraId="07880E00" w14:textId="77777777" w:rsidR="00D22EC1" w:rsidRPr="00157C0B" w:rsidRDefault="00D22EC1" w:rsidP="001439F1">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žala PSDF biudžetui, skaičius</w:t>
            </w:r>
          </w:p>
        </w:tc>
        <w:tc>
          <w:tcPr>
            <w:tcW w:w="2835" w:type="dxa"/>
            <w:shd w:val="clear" w:color="auto" w:fill="D9E2F3" w:themeFill="accent1" w:themeFillTint="33"/>
            <w:vAlign w:val="center"/>
          </w:tcPr>
          <w:p w14:paraId="098DDA43" w14:textId="77777777" w:rsidR="00D22EC1" w:rsidRPr="00157C0B" w:rsidRDefault="00D22EC1" w:rsidP="001439F1">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Kontrolės procedūrų metu nustatyta žala</w:t>
            </w:r>
          </w:p>
          <w:p w14:paraId="21FB0206" w14:textId="77777777" w:rsidR="00D22EC1" w:rsidRPr="00157C0B" w:rsidRDefault="00D22EC1" w:rsidP="001439F1">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PSDF biudžetui</w:t>
            </w:r>
          </w:p>
          <w:p w14:paraId="3589772C" w14:textId="77777777" w:rsidR="00D22EC1" w:rsidRPr="00157C0B" w:rsidRDefault="00D22EC1" w:rsidP="001439F1">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(Eur)</w:t>
            </w:r>
          </w:p>
        </w:tc>
      </w:tr>
      <w:tr w:rsidR="00D22EC1" w:rsidRPr="00157C0B" w14:paraId="7A1D4734" w14:textId="77777777" w:rsidTr="00D22EC1">
        <w:trPr>
          <w:trHeight w:val="26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9FB9E12" w14:textId="77777777" w:rsidR="00D22EC1" w:rsidRPr="00157C0B" w:rsidRDefault="00D22EC1" w:rsidP="001439F1">
            <w:pPr>
              <w:pStyle w:val="Default"/>
              <w:rPr>
                <w:rFonts w:eastAsia="Times New Roman"/>
                <w:b w:val="0"/>
                <w:bCs w:val="0"/>
                <w:color w:val="auto"/>
                <w:sz w:val="20"/>
              </w:rPr>
            </w:pPr>
            <w:bookmarkStart w:id="1" w:name="_Hlk160457213"/>
            <w:bookmarkStart w:id="2" w:name="_Hlk190936280"/>
            <w:r w:rsidRPr="00157C0B">
              <w:rPr>
                <w:rFonts w:eastAsia="Times New Roman"/>
                <w:color w:val="auto"/>
                <w:sz w:val="20"/>
              </w:rPr>
              <w:t>Vilniaus</w:t>
            </w:r>
          </w:p>
        </w:tc>
        <w:tc>
          <w:tcPr>
            <w:tcW w:w="1134" w:type="dxa"/>
            <w:vAlign w:val="center"/>
          </w:tcPr>
          <w:p w14:paraId="64EBD7A0" w14:textId="0B1DCB35" w:rsidR="00D22EC1" w:rsidRPr="00661D65" w:rsidRDefault="000721FC" w:rsidP="001439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117</w:t>
            </w:r>
          </w:p>
        </w:tc>
        <w:tc>
          <w:tcPr>
            <w:tcW w:w="2127" w:type="dxa"/>
            <w:vAlign w:val="center"/>
          </w:tcPr>
          <w:p w14:paraId="46BC1314" w14:textId="51708F8D" w:rsidR="00D22EC1" w:rsidRPr="00661D65" w:rsidRDefault="003B525A" w:rsidP="001439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 xml:space="preserve">100 </w:t>
            </w:r>
            <w:r w:rsidR="00D22EC1" w:rsidRPr="00661D65">
              <w:rPr>
                <w:rFonts w:ascii="Times New Roman" w:hAnsi="Times New Roman" w:cs="Times New Roman"/>
                <w:sz w:val="20"/>
                <w:szCs w:val="24"/>
              </w:rPr>
              <w:t>(</w:t>
            </w:r>
            <w:r w:rsidR="00811E4D" w:rsidRPr="00661D65">
              <w:rPr>
                <w:rFonts w:ascii="Times New Roman" w:hAnsi="Times New Roman" w:cs="Times New Roman"/>
                <w:sz w:val="20"/>
                <w:szCs w:val="24"/>
              </w:rPr>
              <w:t>85,5</w:t>
            </w:r>
            <w:r w:rsidR="00D22EC1" w:rsidRPr="00661D65">
              <w:rPr>
                <w:rFonts w:ascii="Times New Roman" w:hAnsi="Times New Roman" w:cs="Times New Roman"/>
                <w:sz w:val="20"/>
                <w:szCs w:val="24"/>
              </w:rPr>
              <w:t xml:space="preserve"> proc.)</w:t>
            </w:r>
          </w:p>
        </w:tc>
        <w:tc>
          <w:tcPr>
            <w:tcW w:w="2409" w:type="dxa"/>
            <w:vAlign w:val="center"/>
          </w:tcPr>
          <w:p w14:paraId="3834CD11" w14:textId="5FD3E8C4" w:rsidR="00D22EC1" w:rsidRPr="00661D65" w:rsidRDefault="006E0FED" w:rsidP="001439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 xml:space="preserve">95 </w:t>
            </w:r>
            <w:r w:rsidR="00D22EC1" w:rsidRPr="00661D65">
              <w:rPr>
                <w:rFonts w:ascii="Times New Roman" w:hAnsi="Times New Roman" w:cs="Times New Roman"/>
                <w:sz w:val="20"/>
                <w:szCs w:val="24"/>
              </w:rPr>
              <w:t>(</w:t>
            </w:r>
            <w:r w:rsidR="00811E4D" w:rsidRPr="00661D65">
              <w:rPr>
                <w:rFonts w:ascii="Times New Roman" w:hAnsi="Times New Roman" w:cs="Times New Roman"/>
                <w:sz w:val="20"/>
                <w:szCs w:val="24"/>
              </w:rPr>
              <w:t xml:space="preserve">81,2 </w:t>
            </w:r>
            <w:r w:rsidR="00D22EC1" w:rsidRPr="00661D65">
              <w:rPr>
                <w:rFonts w:ascii="Times New Roman" w:hAnsi="Times New Roman" w:cs="Times New Roman"/>
                <w:sz w:val="20"/>
                <w:szCs w:val="24"/>
              </w:rPr>
              <w:t>proc.)</w:t>
            </w:r>
          </w:p>
        </w:tc>
        <w:tc>
          <w:tcPr>
            <w:tcW w:w="2835" w:type="dxa"/>
            <w:vAlign w:val="center"/>
          </w:tcPr>
          <w:p w14:paraId="5CABE71B" w14:textId="25F18A4E" w:rsidR="00D22EC1" w:rsidRPr="00157C0B" w:rsidRDefault="0024431D" w:rsidP="00A23D4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rPr>
            </w:pPr>
            <w:r w:rsidRPr="0024431D">
              <w:rPr>
                <w:color w:val="auto"/>
                <w:sz w:val="20"/>
              </w:rPr>
              <w:t>520</w:t>
            </w:r>
            <w:r>
              <w:rPr>
                <w:color w:val="auto"/>
                <w:sz w:val="20"/>
              </w:rPr>
              <w:t> </w:t>
            </w:r>
            <w:r w:rsidRPr="0024431D">
              <w:rPr>
                <w:color w:val="auto"/>
                <w:sz w:val="20"/>
              </w:rPr>
              <w:t>773,73</w:t>
            </w:r>
          </w:p>
        </w:tc>
      </w:tr>
      <w:tr w:rsidR="00D22EC1" w:rsidRPr="00157C0B" w14:paraId="5DF37D61" w14:textId="77777777" w:rsidTr="00D22EC1">
        <w:trPr>
          <w:trHeight w:val="167"/>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0418C94" w14:textId="77777777" w:rsidR="00D22EC1" w:rsidRPr="00157C0B" w:rsidRDefault="00D22EC1" w:rsidP="001439F1">
            <w:pPr>
              <w:pStyle w:val="Default"/>
              <w:rPr>
                <w:rFonts w:eastAsia="Times New Roman"/>
                <w:b w:val="0"/>
                <w:bCs w:val="0"/>
                <w:color w:val="auto"/>
                <w:sz w:val="20"/>
              </w:rPr>
            </w:pPr>
            <w:r w:rsidRPr="00157C0B">
              <w:rPr>
                <w:rFonts w:eastAsia="Times New Roman"/>
                <w:color w:val="auto"/>
                <w:sz w:val="20"/>
              </w:rPr>
              <w:t>Kauno</w:t>
            </w:r>
          </w:p>
        </w:tc>
        <w:tc>
          <w:tcPr>
            <w:tcW w:w="1134" w:type="dxa"/>
            <w:vAlign w:val="center"/>
          </w:tcPr>
          <w:p w14:paraId="7DBAD8D0" w14:textId="622C4990" w:rsidR="00D22EC1" w:rsidRPr="00661D65" w:rsidRDefault="000721FC" w:rsidP="001439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87</w:t>
            </w:r>
          </w:p>
        </w:tc>
        <w:tc>
          <w:tcPr>
            <w:tcW w:w="2127" w:type="dxa"/>
            <w:vAlign w:val="center"/>
          </w:tcPr>
          <w:p w14:paraId="041C959B" w14:textId="58C60073" w:rsidR="00D22EC1" w:rsidRPr="00661D65" w:rsidRDefault="003B525A" w:rsidP="001439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 xml:space="preserve">82 </w:t>
            </w:r>
            <w:r w:rsidR="00D22EC1" w:rsidRPr="00661D65">
              <w:rPr>
                <w:rFonts w:ascii="Times New Roman" w:hAnsi="Times New Roman" w:cs="Times New Roman"/>
                <w:sz w:val="20"/>
                <w:szCs w:val="24"/>
              </w:rPr>
              <w:t>(</w:t>
            </w:r>
            <w:r w:rsidR="00811E4D" w:rsidRPr="00661D65">
              <w:rPr>
                <w:rFonts w:ascii="Times New Roman" w:hAnsi="Times New Roman" w:cs="Times New Roman"/>
                <w:sz w:val="20"/>
                <w:szCs w:val="24"/>
              </w:rPr>
              <w:t>94,3</w:t>
            </w:r>
            <w:r w:rsidR="00D22EC1" w:rsidRPr="00661D65">
              <w:rPr>
                <w:rFonts w:ascii="Times New Roman" w:hAnsi="Times New Roman" w:cs="Times New Roman"/>
                <w:sz w:val="20"/>
                <w:szCs w:val="24"/>
              </w:rPr>
              <w:t xml:space="preserve"> proc.)</w:t>
            </w:r>
          </w:p>
        </w:tc>
        <w:tc>
          <w:tcPr>
            <w:tcW w:w="2409" w:type="dxa"/>
            <w:vAlign w:val="center"/>
          </w:tcPr>
          <w:p w14:paraId="57A42077" w14:textId="142DA3CD" w:rsidR="00D22EC1" w:rsidRPr="00661D65" w:rsidRDefault="009C4C9D" w:rsidP="001439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57</w:t>
            </w:r>
            <w:r w:rsidR="006E0FED" w:rsidRPr="00661D65">
              <w:rPr>
                <w:rFonts w:ascii="Times New Roman" w:hAnsi="Times New Roman" w:cs="Times New Roman"/>
                <w:sz w:val="20"/>
                <w:szCs w:val="24"/>
              </w:rPr>
              <w:t xml:space="preserve"> </w:t>
            </w:r>
            <w:r w:rsidR="00D22EC1" w:rsidRPr="00661D65">
              <w:rPr>
                <w:rFonts w:ascii="Times New Roman" w:hAnsi="Times New Roman" w:cs="Times New Roman"/>
                <w:sz w:val="20"/>
                <w:szCs w:val="24"/>
              </w:rPr>
              <w:t>(</w:t>
            </w:r>
            <w:r w:rsidRPr="00661D65">
              <w:rPr>
                <w:rFonts w:ascii="Times New Roman" w:hAnsi="Times New Roman" w:cs="Times New Roman"/>
                <w:sz w:val="20"/>
                <w:szCs w:val="24"/>
              </w:rPr>
              <w:t>65,5</w:t>
            </w:r>
            <w:r w:rsidR="00D22EC1" w:rsidRPr="00661D65">
              <w:rPr>
                <w:rFonts w:ascii="Times New Roman" w:hAnsi="Times New Roman" w:cs="Times New Roman"/>
                <w:sz w:val="20"/>
                <w:szCs w:val="24"/>
              </w:rPr>
              <w:t xml:space="preserve"> proc.)</w:t>
            </w:r>
          </w:p>
        </w:tc>
        <w:tc>
          <w:tcPr>
            <w:tcW w:w="2835" w:type="dxa"/>
            <w:vAlign w:val="center"/>
          </w:tcPr>
          <w:p w14:paraId="4E7E682B" w14:textId="7E4F54AA" w:rsidR="00D22EC1" w:rsidRPr="00157C0B" w:rsidRDefault="0024431D" w:rsidP="00A23D4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rPr>
            </w:pPr>
            <w:r w:rsidRPr="0024431D">
              <w:rPr>
                <w:color w:val="auto"/>
                <w:sz w:val="20"/>
              </w:rPr>
              <w:t>183</w:t>
            </w:r>
            <w:r>
              <w:rPr>
                <w:color w:val="auto"/>
                <w:sz w:val="20"/>
              </w:rPr>
              <w:t> </w:t>
            </w:r>
            <w:r w:rsidRPr="0024431D">
              <w:rPr>
                <w:color w:val="auto"/>
                <w:sz w:val="20"/>
              </w:rPr>
              <w:t>942,65</w:t>
            </w:r>
          </w:p>
        </w:tc>
      </w:tr>
      <w:tr w:rsidR="00D22EC1" w:rsidRPr="00157C0B" w14:paraId="22A7139A" w14:textId="77777777" w:rsidTr="00D22EC1">
        <w:trPr>
          <w:trHeight w:val="16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11DCAE0" w14:textId="77777777" w:rsidR="00D22EC1" w:rsidRPr="00157C0B" w:rsidRDefault="00D22EC1" w:rsidP="001439F1">
            <w:pPr>
              <w:pStyle w:val="Default"/>
              <w:rPr>
                <w:rFonts w:eastAsia="Times New Roman"/>
                <w:b w:val="0"/>
                <w:bCs w:val="0"/>
                <w:color w:val="auto"/>
                <w:sz w:val="20"/>
              </w:rPr>
            </w:pPr>
            <w:r w:rsidRPr="00157C0B">
              <w:rPr>
                <w:rFonts w:eastAsia="Times New Roman"/>
                <w:color w:val="auto"/>
                <w:sz w:val="20"/>
              </w:rPr>
              <w:t>Klaipėdos</w:t>
            </w:r>
          </w:p>
        </w:tc>
        <w:tc>
          <w:tcPr>
            <w:tcW w:w="1134" w:type="dxa"/>
            <w:vAlign w:val="center"/>
          </w:tcPr>
          <w:p w14:paraId="4EFCEF02" w14:textId="7CB4D60E" w:rsidR="00D22EC1" w:rsidRPr="00661D65" w:rsidRDefault="009E2978" w:rsidP="001439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highlight w:val="yellow"/>
              </w:rPr>
            </w:pPr>
            <w:r w:rsidRPr="00661D65">
              <w:rPr>
                <w:rFonts w:ascii="Times New Roman" w:hAnsi="Times New Roman" w:cs="Times New Roman"/>
                <w:sz w:val="20"/>
                <w:szCs w:val="24"/>
              </w:rPr>
              <w:t>93</w:t>
            </w:r>
          </w:p>
        </w:tc>
        <w:tc>
          <w:tcPr>
            <w:tcW w:w="2127" w:type="dxa"/>
            <w:vAlign w:val="center"/>
          </w:tcPr>
          <w:p w14:paraId="5869EE53" w14:textId="6DEF4715" w:rsidR="00D22EC1" w:rsidRPr="00661D65" w:rsidRDefault="003B525A" w:rsidP="001439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 xml:space="preserve">78 </w:t>
            </w:r>
            <w:r w:rsidR="00D22EC1" w:rsidRPr="00661D65">
              <w:rPr>
                <w:rFonts w:ascii="Times New Roman" w:hAnsi="Times New Roman" w:cs="Times New Roman"/>
                <w:sz w:val="20"/>
                <w:szCs w:val="24"/>
              </w:rPr>
              <w:t>(</w:t>
            </w:r>
            <w:r w:rsidR="00811E4D" w:rsidRPr="00661D65">
              <w:rPr>
                <w:rFonts w:ascii="Times New Roman" w:hAnsi="Times New Roman" w:cs="Times New Roman"/>
                <w:sz w:val="20"/>
                <w:szCs w:val="24"/>
              </w:rPr>
              <w:t>8</w:t>
            </w:r>
            <w:r w:rsidR="009E2978" w:rsidRPr="00661D65">
              <w:rPr>
                <w:rFonts w:ascii="Times New Roman" w:hAnsi="Times New Roman" w:cs="Times New Roman"/>
                <w:sz w:val="20"/>
                <w:szCs w:val="24"/>
              </w:rPr>
              <w:t xml:space="preserve">3,9 </w:t>
            </w:r>
            <w:r w:rsidR="00D22EC1" w:rsidRPr="00661D65">
              <w:rPr>
                <w:rFonts w:ascii="Times New Roman" w:hAnsi="Times New Roman" w:cs="Times New Roman"/>
                <w:sz w:val="20"/>
                <w:szCs w:val="24"/>
              </w:rPr>
              <w:t>proc.)</w:t>
            </w:r>
          </w:p>
        </w:tc>
        <w:tc>
          <w:tcPr>
            <w:tcW w:w="2409" w:type="dxa"/>
            <w:vAlign w:val="center"/>
          </w:tcPr>
          <w:p w14:paraId="72E8D4BE" w14:textId="6F925DC7" w:rsidR="00D22EC1" w:rsidRPr="00661D65" w:rsidRDefault="006E0FED" w:rsidP="001439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 xml:space="preserve">75 </w:t>
            </w:r>
            <w:r w:rsidR="00D22EC1" w:rsidRPr="00661D65">
              <w:rPr>
                <w:rFonts w:ascii="Times New Roman" w:hAnsi="Times New Roman" w:cs="Times New Roman"/>
                <w:sz w:val="20"/>
                <w:szCs w:val="24"/>
              </w:rPr>
              <w:t>(</w:t>
            </w:r>
            <w:r w:rsidR="009E2978" w:rsidRPr="00661D65">
              <w:rPr>
                <w:rFonts w:ascii="Times New Roman" w:hAnsi="Times New Roman" w:cs="Times New Roman"/>
                <w:sz w:val="20"/>
                <w:szCs w:val="24"/>
              </w:rPr>
              <w:t>80,6</w:t>
            </w:r>
            <w:r w:rsidR="00D22EC1" w:rsidRPr="00661D65">
              <w:rPr>
                <w:rFonts w:ascii="Times New Roman" w:hAnsi="Times New Roman" w:cs="Times New Roman"/>
                <w:sz w:val="20"/>
                <w:szCs w:val="24"/>
              </w:rPr>
              <w:t xml:space="preserve"> proc.)</w:t>
            </w:r>
          </w:p>
        </w:tc>
        <w:tc>
          <w:tcPr>
            <w:tcW w:w="2835" w:type="dxa"/>
            <w:vAlign w:val="center"/>
          </w:tcPr>
          <w:p w14:paraId="6936811F" w14:textId="2539288C" w:rsidR="00D22EC1" w:rsidRPr="00157C0B" w:rsidRDefault="0024431D" w:rsidP="00A23D4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rPr>
            </w:pPr>
            <w:r w:rsidRPr="0024431D">
              <w:rPr>
                <w:color w:val="auto"/>
                <w:sz w:val="20"/>
              </w:rPr>
              <w:t>657</w:t>
            </w:r>
            <w:r>
              <w:rPr>
                <w:color w:val="auto"/>
                <w:sz w:val="20"/>
              </w:rPr>
              <w:t> </w:t>
            </w:r>
            <w:r w:rsidRPr="0024431D">
              <w:rPr>
                <w:color w:val="auto"/>
                <w:sz w:val="20"/>
              </w:rPr>
              <w:t>939,51</w:t>
            </w:r>
          </w:p>
        </w:tc>
      </w:tr>
      <w:tr w:rsidR="00D22EC1" w:rsidRPr="00157C0B" w14:paraId="41F083FF" w14:textId="77777777" w:rsidTr="00D22EC1">
        <w:trPr>
          <w:trHeight w:val="139"/>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EA7B250" w14:textId="77777777" w:rsidR="00D22EC1" w:rsidRPr="00157C0B" w:rsidRDefault="00D22EC1" w:rsidP="001439F1">
            <w:pPr>
              <w:pStyle w:val="Default"/>
              <w:rPr>
                <w:rFonts w:eastAsia="Times New Roman"/>
                <w:b w:val="0"/>
                <w:bCs w:val="0"/>
                <w:color w:val="auto"/>
                <w:sz w:val="20"/>
              </w:rPr>
            </w:pPr>
            <w:r w:rsidRPr="00157C0B">
              <w:rPr>
                <w:rFonts w:eastAsia="Times New Roman"/>
                <w:color w:val="auto"/>
                <w:sz w:val="20"/>
              </w:rPr>
              <w:t>Šiaulių</w:t>
            </w:r>
          </w:p>
        </w:tc>
        <w:tc>
          <w:tcPr>
            <w:tcW w:w="1134" w:type="dxa"/>
            <w:vAlign w:val="center"/>
          </w:tcPr>
          <w:p w14:paraId="0270B02F" w14:textId="5C59DEA1" w:rsidR="00D22EC1" w:rsidRPr="00661D65" w:rsidRDefault="000721FC" w:rsidP="001439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highlight w:val="yellow"/>
              </w:rPr>
            </w:pPr>
            <w:r w:rsidRPr="00661D65">
              <w:rPr>
                <w:rFonts w:ascii="Times New Roman" w:hAnsi="Times New Roman" w:cs="Times New Roman"/>
                <w:sz w:val="20"/>
                <w:szCs w:val="24"/>
              </w:rPr>
              <w:t>54</w:t>
            </w:r>
          </w:p>
        </w:tc>
        <w:tc>
          <w:tcPr>
            <w:tcW w:w="2127" w:type="dxa"/>
            <w:vAlign w:val="center"/>
          </w:tcPr>
          <w:p w14:paraId="3823BE23" w14:textId="4FA54BB1" w:rsidR="00D22EC1" w:rsidRPr="00661D65" w:rsidRDefault="003B525A" w:rsidP="001439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 xml:space="preserve">48 </w:t>
            </w:r>
            <w:r w:rsidR="00D22EC1" w:rsidRPr="00661D65">
              <w:rPr>
                <w:rFonts w:ascii="Times New Roman" w:hAnsi="Times New Roman" w:cs="Times New Roman"/>
                <w:sz w:val="20"/>
                <w:szCs w:val="24"/>
              </w:rPr>
              <w:t>(</w:t>
            </w:r>
            <w:r w:rsidR="00811E4D" w:rsidRPr="00661D65">
              <w:rPr>
                <w:rFonts w:ascii="Times New Roman" w:hAnsi="Times New Roman" w:cs="Times New Roman"/>
                <w:sz w:val="20"/>
                <w:szCs w:val="24"/>
              </w:rPr>
              <w:t>88,9</w:t>
            </w:r>
            <w:r w:rsidR="00D22EC1" w:rsidRPr="00661D65">
              <w:rPr>
                <w:rFonts w:ascii="Times New Roman" w:hAnsi="Times New Roman" w:cs="Times New Roman"/>
                <w:sz w:val="20"/>
                <w:szCs w:val="24"/>
              </w:rPr>
              <w:t xml:space="preserve"> proc.)</w:t>
            </w:r>
          </w:p>
        </w:tc>
        <w:tc>
          <w:tcPr>
            <w:tcW w:w="2409" w:type="dxa"/>
            <w:vAlign w:val="center"/>
          </w:tcPr>
          <w:p w14:paraId="4E420DFF" w14:textId="6F14EF75" w:rsidR="00D22EC1" w:rsidRPr="00661D65" w:rsidRDefault="006E0FED" w:rsidP="001439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 xml:space="preserve">43 </w:t>
            </w:r>
            <w:r w:rsidR="00D22EC1" w:rsidRPr="00661D65">
              <w:rPr>
                <w:rFonts w:ascii="Times New Roman" w:hAnsi="Times New Roman" w:cs="Times New Roman"/>
                <w:sz w:val="20"/>
                <w:szCs w:val="24"/>
              </w:rPr>
              <w:t>(</w:t>
            </w:r>
            <w:r w:rsidR="00811E4D" w:rsidRPr="00661D65">
              <w:rPr>
                <w:rFonts w:ascii="Times New Roman" w:hAnsi="Times New Roman" w:cs="Times New Roman"/>
                <w:sz w:val="20"/>
                <w:szCs w:val="24"/>
              </w:rPr>
              <w:t>79,6</w:t>
            </w:r>
            <w:r w:rsidR="00D22EC1" w:rsidRPr="00661D65">
              <w:rPr>
                <w:rFonts w:ascii="Times New Roman" w:hAnsi="Times New Roman" w:cs="Times New Roman"/>
                <w:sz w:val="20"/>
                <w:szCs w:val="24"/>
              </w:rPr>
              <w:t xml:space="preserve"> proc.)</w:t>
            </w:r>
          </w:p>
        </w:tc>
        <w:tc>
          <w:tcPr>
            <w:tcW w:w="2835" w:type="dxa"/>
            <w:vAlign w:val="center"/>
          </w:tcPr>
          <w:p w14:paraId="571FD2D7" w14:textId="73F90C0B" w:rsidR="00D22EC1" w:rsidRPr="00157C0B" w:rsidRDefault="0024431D" w:rsidP="00A23D4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rPr>
            </w:pPr>
            <w:r w:rsidRPr="0024431D">
              <w:rPr>
                <w:color w:val="auto"/>
                <w:sz w:val="20"/>
              </w:rPr>
              <w:t>61</w:t>
            </w:r>
            <w:r>
              <w:rPr>
                <w:color w:val="auto"/>
                <w:sz w:val="20"/>
              </w:rPr>
              <w:t> </w:t>
            </w:r>
            <w:r w:rsidRPr="0024431D">
              <w:rPr>
                <w:color w:val="auto"/>
                <w:sz w:val="20"/>
              </w:rPr>
              <w:t>711,23</w:t>
            </w:r>
          </w:p>
        </w:tc>
      </w:tr>
      <w:tr w:rsidR="00D22EC1" w:rsidRPr="00157C0B" w14:paraId="7E7E7CFA" w14:textId="77777777" w:rsidTr="00D22EC1">
        <w:trPr>
          <w:trHeight w:val="179"/>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304A47B" w14:textId="77777777" w:rsidR="00D22EC1" w:rsidRPr="00157C0B" w:rsidRDefault="00D22EC1" w:rsidP="001439F1">
            <w:pPr>
              <w:pStyle w:val="Default"/>
              <w:rPr>
                <w:rFonts w:eastAsia="Times New Roman"/>
                <w:b w:val="0"/>
                <w:bCs w:val="0"/>
                <w:color w:val="auto"/>
                <w:sz w:val="20"/>
              </w:rPr>
            </w:pPr>
            <w:r w:rsidRPr="00157C0B">
              <w:rPr>
                <w:rFonts w:eastAsia="Times New Roman"/>
                <w:color w:val="auto"/>
                <w:sz w:val="20"/>
              </w:rPr>
              <w:t>Panevėžio</w:t>
            </w:r>
          </w:p>
        </w:tc>
        <w:tc>
          <w:tcPr>
            <w:tcW w:w="1134" w:type="dxa"/>
            <w:vAlign w:val="center"/>
          </w:tcPr>
          <w:p w14:paraId="2426CA2B" w14:textId="3DADBEDD" w:rsidR="00D22EC1" w:rsidRPr="00661D65" w:rsidRDefault="000721FC" w:rsidP="001439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highlight w:val="yellow"/>
              </w:rPr>
            </w:pPr>
            <w:r w:rsidRPr="00661D65">
              <w:rPr>
                <w:rFonts w:ascii="Times New Roman" w:hAnsi="Times New Roman" w:cs="Times New Roman"/>
                <w:sz w:val="20"/>
                <w:szCs w:val="24"/>
              </w:rPr>
              <w:t>86</w:t>
            </w:r>
          </w:p>
        </w:tc>
        <w:tc>
          <w:tcPr>
            <w:tcW w:w="2127" w:type="dxa"/>
            <w:vAlign w:val="center"/>
          </w:tcPr>
          <w:p w14:paraId="7F269208" w14:textId="1348992B" w:rsidR="00D22EC1" w:rsidRPr="00661D65" w:rsidRDefault="003B525A" w:rsidP="001439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 xml:space="preserve">79 </w:t>
            </w:r>
            <w:r w:rsidR="00D22EC1" w:rsidRPr="00661D65">
              <w:rPr>
                <w:rFonts w:ascii="Times New Roman" w:hAnsi="Times New Roman" w:cs="Times New Roman"/>
                <w:sz w:val="20"/>
                <w:szCs w:val="24"/>
              </w:rPr>
              <w:t>(</w:t>
            </w:r>
            <w:r w:rsidR="00811E4D" w:rsidRPr="00661D65">
              <w:rPr>
                <w:rFonts w:ascii="Times New Roman" w:hAnsi="Times New Roman" w:cs="Times New Roman"/>
                <w:sz w:val="20"/>
                <w:szCs w:val="24"/>
              </w:rPr>
              <w:t>91,9</w:t>
            </w:r>
            <w:r w:rsidR="00D22EC1" w:rsidRPr="00661D65">
              <w:rPr>
                <w:rFonts w:ascii="Times New Roman" w:hAnsi="Times New Roman" w:cs="Times New Roman"/>
                <w:sz w:val="20"/>
                <w:szCs w:val="24"/>
              </w:rPr>
              <w:t xml:space="preserve"> proc.)</w:t>
            </w:r>
          </w:p>
        </w:tc>
        <w:tc>
          <w:tcPr>
            <w:tcW w:w="2409" w:type="dxa"/>
            <w:vAlign w:val="center"/>
          </w:tcPr>
          <w:p w14:paraId="05BD48E0" w14:textId="422F3481" w:rsidR="00D22EC1" w:rsidRPr="00661D65" w:rsidRDefault="006E0FED" w:rsidP="001439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61D65">
              <w:rPr>
                <w:rFonts w:ascii="Times New Roman" w:hAnsi="Times New Roman" w:cs="Times New Roman"/>
                <w:sz w:val="20"/>
                <w:szCs w:val="24"/>
              </w:rPr>
              <w:t xml:space="preserve">57 </w:t>
            </w:r>
            <w:r w:rsidR="00D22EC1" w:rsidRPr="00661D65">
              <w:rPr>
                <w:rFonts w:ascii="Times New Roman" w:hAnsi="Times New Roman" w:cs="Times New Roman"/>
                <w:sz w:val="20"/>
                <w:szCs w:val="24"/>
              </w:rPr>
              <w:t>(</w:t>
            </w:r>
            <w:r w:rsidR="00811E4D" w:rsidRPr="00661D65">
              <w:rPr>
                <w:rFonts w:ascii="Times New Roman" w:hAnsi="Times New Roman" w:cs="Times New Roman"/>
                <w:sz w:val="20"/>
                <w:szCs w:val="24"/>
              </w:rPr>
              <w:t>66,3</w:t>
            </w:r>
            <w:r w:rsidR="00D22EC1" w:rsidRPr="00661D65">
              <w:rPr>
                <w:rFonts w:ascii="Times New Roman" w:hAnsi="Times New Roman" w:cs="Times New Roman"/>
                <w:sz w:val="20"/>
                <w:szCs w:val="24"/>
              </w:rPr>
              <w:t xml:space="preserve"> proc.)</w:t>
            </w:r>
          </w:p>
        </w:tc>
        <w:tc>
          <w:tcPr>
            <w:tcW w:w="2835" w:type="dxa"/>
            <w:vAlign w:val="center"/>
          </w:tcPr>
          <w:p w14:paraId="49A1788A" w14:textId="08B80804" w:rsidR="00D22EC1" w:rsidRPr="00157C0B" w:rsidRDefault="0024431D" w:rsidP="00A23D4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rPr>
            </w:pPr>
            <w:r w:rsidRPr="0024431D">
              <w:rPr>
                <w:color w:val="auto"/>
                <w:sz w:val="20"/>
              </w:rPr>
              <w:t>189</w:t>
            </w:r>
            <w:r>
              <w:rPr>
                <w:color w:val="auto"/>
                <w:sz w:val="20"/>
              </w:rPr>
              <w:t> </w:t>
            </w:r>
            <w:r w:rsidRPr="0024431D">
              <w:rPr>
                <w:color w:val="auto"/>
                <w:sz w:val="20"/>
              </w:rPr>
              <w:t>038,07</w:t>
            </w:r>
          </w:p>
        </w:tc>
      </w:tr>
      <w:bookmarkEnd w:id="1"/>
      <w:tr w:rsidR="00D22EC1" w:rsidRPr="00157C0B" w14:paraId="2F608549" w14:textId="77777777" w:rsidTr="00D22EC1">
        <w:trPr>
          <w:trHeight w:val="93"/>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58D8B7D" w14:textId="77777777" w:rsidR="00D22EC1" w:rsidRPr="00157C0B" w:rsidRDefault="00D22EC1" w:rsidP="001439F1">
            <w:pPr>
              <w:pStyle w:val="Default"/>
              <w:rPr>
                <w:rFonts w:eastAsia="Times New Roman"/>
                <w:b w:val="0"/>
                <w:bCs w:val="0"/>
                <w:color w:val="auto"/>
                <w:sz w:val="20"/>
              </w:rPr>
            </w:pPr>
            <w:r w:rsidRPr="00157C0B">
              <w:rPr>
                <w:rFonts w:eastAsia="Times New Roman"/>
                <w:color w:val="auto"/>
                <w:sz w:val="20"/>
              </w:rPr>
              <w:t>Iš viso</w:t>
            </w:r>
          </w:p>
        </w:tc>
        <w:tc>
          <w:tcPr>
            <w:tcW w:w="1134" w:type="dxa"/>
            <w:vAlign w:val="center"/>
          </w:tcPr>
          <w:p w14:paraId="322D203D" w14:textId="1A2F0B49" w:rsidR="00D22EC1" w:rsidRPr="00157C0B" w:rsidRDefault="009E2978" w:rsidP="0055698D">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20"/>
              </w:rPr>
            </w:pPr>
            <w:r>
              <w:rPr>
                <w:b/>
                <w:bCs/>
                <w:color w:val="auto"/>
                <w:sz w:val="20"/>
              </w:rPr>
              <w:t>437</w:t>
            </w:r>
          </w:p>
        </w:tc>
        <w:tc>
          <w:tcPr>
            <w:tcW w:w="2127" w:type="dxa"/>
            <w:vAlign w:val="center"/>
          </w:tcPr>
          <w:p w14:paraId="083A983C" w14:textId="3457C8E3" w:rsidR="00D22EC1" w:rsidRPr="00F6006A" w:rsidRDefault="003B525A" w:rsidP="0055698D">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20"/>
              </w:rPr>
            </w:pPr>
            <w:r w:rsidRPr="00F6006A">
              <w:rPr>
                <w:b/>
                <w:bCs/>
                <w:color w:val="auto"/>
                <w:sz w:val="20"/>
              </w:rPr>
              <w:t xml:space="preserve">387 </w:t>
            </w:r>
            <w:r w:rsidR="00D22EC1" w:rsidRPr="00F6006A">
              <w:rPr>
                <w:b/>
                <w:bCs/>
                <w:color w:val="auto"/>
                <w:sz w:val="20"/>
              </w:rPr>
              <w:t>(</w:t>
            </w:r>
            <w:r w:rsidR="00811E4D" w:rsidRPr="00F6006A">
              <w:rPr>
                <w:b/>
                <w:bCs/>
                <w:color w:val="auto"/>
                <w:sz w:val="20"/>
              </w:rPr>
              <w:t>88,</w:t>
            </w:r>
            <w:r w:rsidR="009E2978">
              <w:rPr>
                <w:b/>
                <w:bCs/>
                <w:color w:val="auto"/>
                <w:sz w:val="20"/>
              </w:rPr>
              <w:t>6</w:t>
            </w:r>
            <w:r w:rsidR="00D22EC1" w:rsidRPr="00F6006A">
              <w:rPr>
                <w:b/>
                <w:bCs/>
                <w:color w:val="auto"/>
                <w:sz w:val="20"/>
              </w:rPr>
              <w:t xml:space="preserve"> proc.)</w:t>
            </w:r>
          </w:p>
        </w:tc>
        <w:tc>
          <w:tcPr>
            <w:tcW w:w="2409" w:type="dxa"/>
            <w:vAlign w:val="center"/>
          </w:tcPr>
          <w:p w14:paraId="4AEEE1A1" w14:textId="2A9A80A3" w:rsidR="00D22EC1" w:rsidRPr="00157C0B" w:rsidRDefault="009C4C9D" w:rsidP="0055698D">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20"/>
              </w:rPr>
            </w:pPr>
            <w:r>
              <w:rPr>
                <w:b/>
                <w:bCs/>
                <w:color w:val="auto"/>
                <w:sz w:val="20"/>
              </w:rPr>
              <w:t>327</w:t>
            </w:r>
            <w:r w:rsidR="0024431D" w:rsidRPr="00157C0B">
              <w:rPr>
                <w:b/>
                <w:bCs/>
                <w:color w:val="auto"/>
                <w:sz w:val="20"/>
              </w:rPr>
              <w:t xml:space="preserve"> </w:t>
            </w:r>
            <w:r w:rsidR="00D22EC1" w:rsidRPr="00157C0B">
              <w:rPr>
                <w:b/>
                <w:bCs/>
                <w:color w:val="auto"/>
                <w:sz w:val="20"/>
              </w:rPr>
              <w:t>(</w:t>
            </w:r>
            <w:r>
              <w:rPr>
                <w:b/>
                <w:bCs/>
                <w:color w:val="auto"/>
                <w:sz w:val="20"/>
              </w:rPr>
              <w:t>74,</w:t>
            </w:r>
            <w:r w:rsidR="009E2978">
              <w:rPr>
                <w:b/>
                <w:bCs/>
                <w:color w:val="auto"/>
                <w:sz w:val="20"/>
              </w:rPr>
              <w:t xml:space="preserve">8 </w:t>
            </w:r>
            <w:r w:rsidR="00D22EC1" w:rsidRPr="00157C0B">
              <w:rPr>
                <w:b/>
                <w:bCs/>
                <w:sz w:val="20"/>
              </w:rPr>
              <w:t>proc.</w:t>
            </w:r>
            <w:r w:rsidR="00D22EC1" w:rsidRPr="00157C0B">
              <w:rPr>
                <w:b/>
                <w:bCs/>
                <w:color w:val="auto"/>
                <w:sz w:val="20"/>
              </w:rPr>
              <w:t>)</w:t>
            </w:r>
          </w:p>
        </w:tc>
        <w:tc>
          <w:tcPr>
            <w:tcW w:w="2835" w:type="dxa"/>
            <w:vAlign w:val="center"/>
          </w:tcPr>
          <w:p w14:paraId="4952C14B" w14:textId="1C28235F" w:rsidR="00D22EC1" w:rsidRPr="00157C0B" w:rsidRDefault="0024431D" w:rsidP="00A23D45">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20"/>
              </w:rPr>
            </w:pPr>
            <w:r w:rsidRPr="0024431D">
              <w:rPr>
                <w:b/>
                <w:bCs/>
                <w:color w:val="auto"/>
                <w:sz w:val="20"/>
              </w:rPr>
              <w:t>1</w:t>
            </w:r>
            <w:r>
              <w:rPr>
                <w:b/>
                <w:bCs/>
                <w:color w:val="auto"/>
                <w:sz w:val="20"/>
              </w:rPr>
              <w:t> </w:t>
            </w:r>
            <w:r w:rsidRPr="0024431D">
              <w:rPr>
                <w:b/>
                <w:bCs/>
                <w:color w:val="auto"/>
                <w:sz w:val="20"/>
              </w:rPr>
              <w:t>613</w:t>
            </w:r>
            <w:r>
              <w:rPr>
                <w:b/>
                <w:bCs/>
                <w:color w:val="auto"/>
                <w:sz w:val="20"/>
              </w:rPr>
              <w:t> </w:t>
            </w:r>
            <w:r w:rsidRPr="0024431D">
              <w:rPr>
                <w:b/>
                <w:bCs/>
                <w:color w:val="auto"/>
                <w:sz w:val="20"/>
              </w:rPr>
              <w:t>405,19</w:t>
            </w:r>
          </w:p>
        </w:tc>
      </w:tr>
      <w:bookmarkEnd w:id="2"/>
    </w:tbl>
    <w:p w14:paraId="64B9A2C0" w14:textId="77777777" w:rsidR="00D22EC1" w:rsidRPr="00157C0B" w:rsidRDefault="00D22EC1" w:rsidP="00283F46">
      <w:pPr>
        <w:tabs>
          <w:tab w:val="left" w:pos="709"/>
        </w:tabs>
        <w:spacing w:after="0" w:line="240" w:lineRule="auto"/>
        <w:jc w:val="both"/>
        <w:rPr>
          <w:rFonts w:ascii="Times New Roman" w:hAnsi="Times New Roman" w:cs="Times New Roman"/>
          <w:sz w:val="24"/>
          <w:szCs w:val="24"/>
        </w:rPr>
      </w:pPr>
    </w:p>
    <w:p w14:paraId="7FB669F6" w14:textId="62D3AE3B" w:rsidR="00283F46" w:rsidRPr="00157C0B" w:rsidRDefault="00283F46" w:rsidP="0055141B">
      <w:pPr>
        <w:spacing w:after="0" w:line="240" w:lineRule="auto"/>
        <w:ind w:firstLine="851"/>
        <w:jc w:val="both"/>
        <w:rPr>
          <w:rFonts w:ascii="Times New Roman" w:hAnsi="Times New Roman" w:cs="Times New Roman"/>
          <w:bCs/>
          <w:sz w:val="24"/>
          <w:szCs w:val="24"/>
        </w:rPr>
      </w:pPr>
      <w:r w:rsidRPr="00157C0B">
        <w:rPr>
          <w:rFonts w:ascii="Times New Roman" w:hAnsi="Times New Roman" w:cs="Times New Roman"/>
          <w:sz w:val="24"/>
          <w:szCs w:val="24"/>
        </w:rPr>
        <w:t>2022</w:t>
      </w:r>
      <w:r w:rsidR="009267FB">
        <w:rPr>
          <w:rFonts w:ascii="Times New Roman" w:hAnsi="Times New Roman" w:cs="Times New Roman"/>
          <w:sz w:val="24"/>
          <w:szCs w:val="24"/>
        </w:rPr>
        <w:t> </w:t>
      </w:r>
      <w:r w:rsidRPr="00157C0B">
        <w:rPr>
          <w:rFonts w:ascii="Times New Roman" w:hAnsi="Times New Roman" w:cs="Times New Roman"/>
          <w:sz w:val="24"/>
          <w:szCs w:val="24"/>
        </w:rPr>
        <w:t>m. pakeitus Aprašą</w:t>
      </w:r>
      <w:r w:rsidRPr="00157C0B">
        <w:rPr>
          <w:rFonts w:ascii="Times New Roman" w:hAnsi="Times New Roman" w:cs="Times New Roman"/>
          <w:bCs/>
          <w:sz w:val="24"/>
          <w:szCs w:val="24"/>
        </w:rPr>
        <w:t xml:space="preserve">, patvirtinta supaprastinta neatitikčių vertinimo </w:t>
      </w:r>
      <w:r w:rsidR="00E77E9E" w:rsidRPr="00A73FCE">
        <w:rPr>
          <w:rFonts w:ascii="Times New Roman" w:hAnsi="Times New Roman" w:cs="Times New Roman"/>
          <w:bCs/>
          <w:sz w:val="24"/>
          <w:szCs w:val="24"/>
        </w:rPr>
        <w:t>(toliau – SNV)</w:t>
      </w:r>
      <w:r w:rsidRPr="00661D65">
        <w:rPr>
          <w:rFonts w:ascii="Times New Roman" w:hAnsi="Times New Roman" w:cs="Times New Roman"/>
          <w:bCs/>
          <w:sz w:val="24"/>
          <w:szCs w:val="24"/>
        </w:rPr>
        <w:t xml:space="preserve"> </w:t>
      </w:r>
      <w:r w:rsidRPr="00157C0B">
        <w:rPr>
          <w:rFonts w:ascii="Times New Roman" w:hAnsi="Times New Roman" w:cs="Times New Roman"/>
          <w:bCs/>
          <w:sz w:val="24"/>
          <w:szCs w:val="24"/>
        </w:rPr>
        <w:t xml:space="preserve">procedūra, kuri numato būdą supaprastinta tvarka susigrąžinti </w:t>
      </w:r>
      <w:r w:rsidR="003E3B8A" w:rsidRPr="00157C0B">
        <w:rPr>
          <w:rFonts w:ascii="Times New Roman" w:hAnsi="Times New Roman" w:cs="Times New Roman"/>
          <w:bCs/>
          <w:sz w:val="24"/>
          <w:szCs w:val="24"/>
        </w:rPr>
        <w:t xml:space="preserve">ASPĮ </w:t>
      </w:r>
      <w:r w:rsidRPr="00157C0B">
        <w:rPr>
          <w:rFonts w:ascii="Times New Roman" w:hAnsi="Times New Roman" w:cs="Times New Roman"/>
          <w:bCs/>
          <w:sz w:val="24"/>
          <w:szCs w:val="24"/>
        </w:rPr>
        <w:t xml:space="preserve">neteisėtai gautas PSDF </w:t>
      </w:r>
      <w:r w:rsidR="00B01F9F">
        <w:rPr>
          <w:rFonts w:ascii="Times New Roman" w:hAnsi="Times New Roman" w:cs="Times New Roman"/>
          <w:bCs/>
          <w:sz w:val="24"/>
          <w:szCs w:val="24"/>
        </w:rPr>
        <w:t xml:space="preserve">biudžeto </w:t>
      </w:r>
      <w:r w:rsidRPr="00157C0B">
        <w:rPr>
          <w:rFonts w:ascii="Times New Roman" w:hAnsi="Times New Roman" w:cs="Times New Roman"/>
          <w:bCs/>
          <w:sz w:val="24"/>
          <w:szCs w:val="24"/>
        </w:rPr>
        <w:t xml:space="preserve">lėšas. TLK pradėjus taikyti </w:t>
      </w:r>
      <w:r w:rsidR="00E77E9E" w:rsidRPr="00BE6736">
        <w:rPr>
          <w:rFonts w:ascii="Times New Roman" w:hAnsi="Times New Roman" w:cs="Times New Roman"/>
          <w:bCs/>
          <w:sz w:val="24"/>
          <w:szCs w:val="24"/>
        </w:rPr>
        <w:t>SNV</w:t>
      </w:r>
      <w:r w:rsidRPr="00157C0B">
        <w:rPr>
          <w:rFonts w:ascii="Times New Roman" w:hAnsi="Times New Roman" w:cs="Times New Roman"/>
          <w:bCs/>
          <w:sz w:val="24"/>
          <w:szCs w:val="24"/>
        </w:rPr>
        <w:t xml:space="preserve"> procedūras, įstaigoms sumažėjo administracinė našta</w:t>
      </w:r>
      <w:r w:rsidR="009267FB">
        <w:rPr>
          <w:rFonts w:ascii="Times New Roman" w:hAnsi="Times New Roman" w:cs="Times New Roman"/>
          <w:bCs/>
          <w:sz w:val="24"/>
          <w:szCs w:val="24"/>
        </w:rPr>
        <w:t xml:space="preserve">. </w:t>
      </w:r>
      <w:r w:rsidR="0060544F" w:rsidRPr="00157C0B">
        <w:rPr>
          <w:rFonts w:ascii="Times New Roman" w:hAnsi="Times New Roman" w:cs="Times New Roman"/>
          <w:bCs/>
          <w:sz w:val="24"/>
          <w:szCs w:val="24"/>
        </w:rPr>
        <w:t xml:space="preserve">TLK </w:t>
      </w:r>
      <w:r w:rsidR="00EC6C47" w:rsidRPr="00157C0B">
        <w:rPr>
          <w:rFonts w:ascii="Times New Roman" w:hAnsi="Times New Roman" w:cs="Times New Roman"/>
          <w:bCs/>
          <w:sz w:val="24"/>
          <w:szCs w:val="24"/>
        </w:rPr>
        <w:t>2024</w:t>
      </w:r>
      <w:r w:rsidR="009267FB">
        <w:rPr>
          <w:rFonts w:ascii="Times New Roman" w:hAnsi="Times New Roman" w:cs="Times New Roman"/>
          <w:bCs/>
          <w:sz w:val="24"/>
          <w:szCs w:val="24"/>
        </w:rPr>
        <w:t> </w:t>
      </w:r>
      <w:r w:rsidR="0060544F" w:rsidRPr="00157C0B">
        <w:rPr>
          <w:rFonts w:ascii="Times New Roman" w:hAnsi="Times New Roman" w:cs="Times New Roman"/>
          <w:bCs/>
          <w:sz w:val="24"/>
          <w:szCs w:val="24"/>
        </w:rPr>
        <w:t xml:space="preserve">m. atliko </w:t>
      </w:r>
      <w:r w:rsidR="00EC6C47" w:rsidRPr="00157C0B">
        <w:rPr>
          <w:rFonts w:ascii="Times New Roman" w:hAnsi="Times New Roman" w:cs="Times New Roman"/>
          <w:bCs/>
          <w:sz w:val="24"/>
          <w:szCs w:val="24"/>
        </w:rPr>
        <w:t xml:space="preserve">673 </w:t>
      </w:r>
      <w:r w:rsidR="00E77E9E">
        <w:rPr>
          <w:rFonts w:ascii="Times New Roman" w:hAnsi="Times New Roman" w:cs="Times New Roman"/>
          <w:bCs/>
          <w:sz w:val="24"/>
          <w:szCs w:val="24"/>
        </w:rPr>
        <w:t>SNV</w:t>
      </w:r>
      <w:r w:rsidR="0060544F" w:rsidRPr="00157C0B">
        <w:rPr>
          <w:rFonts w:ascii="Times New Roman" w:hAnsi="Times New Roman" w:cs="Times New Roman"/>
          <w:bCs/>
          <w:sz w:val="24"/>
          <w:szCs w:val="24"/>
        </w:rPr>
        <w:t xml:space="preserve"> procedūras</w:t>
      </w:r>
      <w:r w:rsidR="00315BA8">
        <w:rPr>
          <w:rFonts w:ascii="Times New Roman" w:hAnsi="Times New Roman" w:cs="Times New Roman"/>
          <w:bCs/>
          <w:sz w:val="24"/>
          <w:szCs w:val="24"/>
        </w:rPr>
        <w:t>, tai 6,32 proc. daugiau nei 2023 m</w:t>
      </w:r>
      <w:r w:rsidR="0060544F" w:rsidRPr="00157C0B">
        <w:rPr>
          <w:rFonts w:ascii="Times New Roman" w:hAnsi="Times New Roman" w:cs="Times New Roman"/>
          <w:bCs/>
          <w:sz w:val="24"/>
          <w:szCs w:val="24"/>
        </w:rPr>
        <w:t xml:space="preserve">. </w:t>
      </w:r>
      <w:r w:rsidRPr="00157C0B">
        <w:rPr>
          <w:rFonts w:ascii="Times New Roman" w:hAnsi="Times New Roman" w:cs="Times New Roman"/>
          <w:bCs/>
          <w:sz w:val="24"/>
          <w:szCs w:val="24"/>
        </w:rPr>
        <w:t xml:space="preserve">TLK atliktų </w:t>
      </w:r>
      <w:r w:rsidR="00E77E9E">
        <w:rPr>
          <w:rFonts w:ascii="Times New Roman" w:hAnsi="Times New Roman" w:cs="Times New Roman"/>
          <w:bCs/>
          <w:sz w:val="24"/>
          <w:szCs w:val="24"/>
        </w:rPr>
        <w:t>SNV</w:t>
      </w:r>
      <w:r w:rsidRPr="00157C0B">
        <w:rPr>
          <w:rFonts w:ascii="Times New Roman" w:hAnsi="Times New Roman" w:cs="Times New Roman"/>
          <w:bCs/>
          <w:sz w:val="24"/>
          <w:szCs w:val="24"/>
        </w:rPr>
        <w:t xml:space="preserve"> procedūrų </w:t>
      </w:r>
      <w:r w:rsidR="0060544F" w:rsidRPr="00157C0B">
        <w:rPr>
          <w:rFonts w:ascii="Times New Roman" w:hAnsi="Times New Roman" w:cs="Times New Roman"/>
          <w:bCs/>
          <w:sz w:val="24"/>
          <w:szCs w:val="24"/>
        </w:rPr>
        <w:t xml:space="preserve">ir kontrolės procedūrų metu nustatytos žalos PSDF biudžetui </w:t>
      </w:r>
      <w:r w:rsidRPr="00157C0B">
        <w:rPr>
          <w:rFonts w:ascii="Times New Roman" w:hAnsi="Times New Roman" w:cs="Times New Roman"/>
          <w:bCs/>
          <w:sz w:val="24"/>
          <w:szCs w:val="24"/>
        </w:rPr>
        <w:t>duomenys pateikiami 3</w:t>
      </w:r>
      <w:r w:rsidR="00317633">
        <w:rPr>
          <w:rFonts w:ascii="Times New Roman" w:hAnsi="Times New Roman" w:cs="Times New Roman"/>
          <w:bCs/>
          <w:sz w:val="24"/>
          <w:szCs w:val="24"/>
        </w:rPr>
        <w:t> </w:t>
      </w:r>
      <w:r w:rsidRPr="00157C0B">
        <w:rPr>
          <w:rFonts w:ascii="Times New Roman" w:hAnsi="Times New Roman" w:cs="Times New Roman"/>
          <w:bCs/>
          <w:sz w:val="24"/>
          <w:szCs w:val="24"/>
        </w:rPr>
        <w:t xml:space="preserve">lentelėje. </w:t>
      </w:r>
    </w:p>
    <w:p w14:paraId="140BEEA4" w14:textId="77777777" w:rsidR="00283F46" w:rsidRPr="00157C0B" w:rsidRDefault="00283F46" w:rsidP="00283F46">
      <w:pPr>
        <w:tabs>
          <w:tab w:val="left" w:pos="709"/>
        </w:tabs>
        <w:spacing w:after="0" w:line="240" w:lineRule="auto"/>
        <w:jc w:val="both"/>
        <w:rPr>
          <w:rFonts w:ascii="Times New Roman" w:hAnsi="Times New Roman" w:cs="Times New Roman"/>
          <w:bCs/>
          <w:sz w:val="24"/>
          <w:szCs w:val="24"/>
        </w:rPr>
      </w:pPr>
    </w:p>
    <w:p w14:paraId="28CECF30" w14:textId="5A35DE68" w:rsidR="00283F46" w:rsidRPr="00661D65" w:rsidRDefault="00283F46" w:rsidP="00283F46">
      <w:pPr>
        <w:tabs>
          <w:tab w:val="left" w:pos="709"/>
        </w:tabs>
        <w:spacing w:after="0" w:line="240" w:lineRule="auto"/>
        <w:jc w:val="both"/>
        <w:rPr>
          <w:rFonts w:ascii="Times New Roman" w:hAnsi="Times New Roman" w:cs="Times New Roman"/>
          <w:i/>
          <w:sz w:val="24"/>
          <w:szCs w:val="24"/>
        </w:rPr>
      </w:pPr>
      <w:r w:rsidRPr="00661D65">
        <w:rPr>
          <w:rFonts w:ascii="Times New Roman" w:hAnsi="Times New Roman" w:cs="Times New Roman"/>
          <w:i/>
          <w:sz w:val="24"/>
          <w:szCs w:val="24"/>
        </w:rPr>
        <w:t>3 lentelė.</w:t>
      </w:r>
      <w:r w:rsidRPr="00661D65">
        <w:rPr>
          <w:rFonts w:ascii="Times New Roman" w:hAnsi="Times New Roman" w:cs="Times New Roman"/>
          <w:sz w:val="24"/>
          <w:szCs w:val="24"/>
        </w:rPr>
        <w:t xml:space="preserve"> </w:t>
      </w:r>
      <w:r w:rsidRPr="00661D65">
        <w:rPr>
          <w:rFonts w:ascii="Times New Roman" w:hAnsi="Times New Roman" w:cs="Times New Roman"/>
          <w:i/>
          <w:sz w:val="24"/>
          <w:szCs w:val="24"/>
        </w:rPr>
        <w:t xml:space="preserve">TLK atliktų supaprastintų neatitikčių vertinimo </w:t>
      </w:r>
      <w:r w:rsidR="0060544F" w:rsidRPr="00661D65">
        <w:rPr>
          <w:rFonts w:ascii="Times New Roman" w:hAnsi="Times New Roman" w:cs="Times New Roman"/>
          <w:i/>
          <w:sz w:val="24"/>
          <w:szCs w:val="24"/>
        </w:rPr>
        <w:t xml:space="preserve">ir kontrolės </w:t>
      </w:r>
      <w:r w:rsidRPr="00661D65">
        <w:rPr>
          <w:rFonts w:ascii="Times New Roman" w:hAnsi="Times New Roman" w:cs="Times New Roman"/>
          <w:i/>
          <w:sz w:val="24"/>
          <w:szCs w:val="24"/>
        </w:rPr>
        <w:t xml:space="preserve">procedūrų </w:t>
      </w:r>
      <w:r w:rsidR="0060544F" w:rsidRPr="00661D65">
        <w:rPr>
          <w:rFonts w:ascii="Times New Roman" w:hAnsi="Times New Roman" w:cs="Times New Roman"/>
          <w:i/>
          <w:sz w:val="24"/>
          <w:szCs w:val="24"/>
        </w:rPr>
        <w:t>metu</w:t>
      </w:r>
      <w:r w:rsidRPr="00661D65">
        <w:rPr>
          <w:rFonts w:ascii="Times New Roman" w:hAnsi="Times New Roman" w:cs="Times New Roman"/>
          <w:i/>
          <w:sz w:val="24"/>
          <w:szCs w:val="24"/>
        </w:rPr>
        <w:t xml:space="preserve"> nustatyta žala PSDF biudžetui</w:t>
      </w:r>
      <w:r w:rsidRPr="00661D65">
        <w:rPr>
          <w:rFonts w:ascii="Times New Roman" w:hAnsi="Times New Roman" w:cs="Times New Roman"/>
        </w:rPr>
        <w:t xml:space="preserve"> </w:t>
      </w:r>
    </w:p>
    <w:tbl>
      <w:tblPr>
        <w:tblStyle w:val="1tinkleliolentelviesi-1parykinimas"/>
        <w:tblW w:w="9781" w:type="dxa"/>
        <w:tblInd w:w="-147" w:type="dxa"/>
        <w:tblLayout w:type="fixed"/>
        <w:tblLook w:val="04A0" w:firstRow="1" w:lastRow="0" w:firstColumn="1" w:lastColumn="0" w:noHBand="0" w:noVBand="1"/>
      </w:tblPr>
      <w:tblGrid>
        <w:gridCol w:w="1281"/>
        <w:gridCol w:w="2689"/>
        <w:gridCol w:w="2976"/>
        <w:gridCol w:w="2835"/>
      </w:tblGrid>
      <w:tr w:rsidR="0060544F" w:rsidRPr="00157C0B" w14:paraId="4DC17399" w14:textId="77777777" w:rsidTr="0028345B">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281" w:type="dxa"/>
            <w:shd w:val="clear" w:color="auto" w:fill="D9E2F3" w:themeFill="accent1" w:themeFillTint="33"/>
            <w:vAlign w:val="center"/>
          </w:tcPr>
          <w:p w14:paraId="20EF3477" w14:textId="77777777" w:rsidR="0060544F" w:rsidRPr="00157C0B" w:rsidRDefault="0060544F" w:rsidP="00D21B6E">
            <w:pPr>
              <w:pStyle w:val="Default"/>
              <w:jc w:val="center"/>
              <w:rPr>
                <w:rFonts w:eastAsia="Times New Roman"/>
                <w:b w:val="0"/>
                <w:bCs w:val="0"/>
                <w:color w:val="auto"/>
                <w:sz w:val="20"/>
                <w:szCs w:val="20"/>
              </w:rPr>
            </w:pPr>
            <w:r w:rsidRPr="00157C0B">
              <w:rPr>
                <w:rFonts w:eastAsia="Times New Roman"/>
                <w:color w:val="auto"/>
                <w:sz w:val="20"/>
                <w:szCs w:val="20"/>
              </w:rPr>
              <w:t>TLK</w:t>
            </w:r>
          </w:p>
        </w:tc>
        <w:tc>
          <w:tcPr>
            <w:tcW w:w="2689" w:type="dxa"/>
            <w:shd w:val="clear" w:color="auto" w:fill="D9E2F3" w:themeFill="accent1" w:themeFillTint="33"/>
            <w:vAlign w:val="center"/>
          </w:tcPr>
          <w:p w14:paraId="5BF8E06C" w14:textId="30D8D80B" w:rsidR="0060544F" w:rsidRPr="00157C0B" w:rsidRDefault="00E77E9E" w:rsidP="00D21B6E">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Pr>
                <w:rFonts w:eastAsia="Times New Roman"/>
                <w:color w:val="auto"/>
                <w:sz w:val="20"/>
                <w:szCs w:val="20"/>
              </w:rPr>
              <w:t>SNV</w:t>
            </w:r>
            <w:r w:rsidR="0060544F" w:rsidRPr="00157C0B">
              <w:rPr>
                <w:rFonts w:eastAsia="Times New Roman"/>
                <w:color w:val="auto"/>
                <w:sz w:val="20"/>
                <w:szCs w:val="20"/>
              </w:rPr>
              <w:t xml:space="preserve"> procedūrų metu nustatyta žala</w:t>
            </w:r>
          </w:p>
          <w:p w14:paraId="75C68252" w14:textId="77777777" w:rsidR="0060544F" w:rsidRPr="00157C0B" w:rsidRDefault="0060544F" w:rsidP="00D21B6E">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PSDF biudžetui</w:t>
            </w:r>
          </w:p>
          <w:p w14:paraId="5B8283FD" w14:textId="77777777" w:rsidR="0060544F" w:rsidRPr="00157C0B" w:rsidRDefault="0060544F" w:rsidP="00D21B6E">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(Eur)</w:t>
            </w:r>
          </w:p>
        </w:tc>
        <w:tc>
          <w:tcPr>
            <w:tcW w:w="2976" w:type="dxa"/>
            <w:shd w:val="clear" w:color="auto" w:fill="D9E2F3" w:themeFill="accent1" w:themeFillTint="33"/>
            <w:vAlign w:val="center"/>
          </w:tcPr>
          <w:p w14:paraId="390E7905" w14:textId="77777777" w:rsidR="0060544F" w:rsidRPr="00157C0B" w:rsidRDefault="0060544F" w:rsidP="00D21B6E">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Kontrolės procedūrų metu nustatyta žala</w:t>
            </w:r>
          </w:p>
          <w:p w14:paraId="7B45952C" w14:textId="77777777" w:rsidR="0060544F" w:rsidRPr="00157C0B" w:rsidRDefault="0060544F" w:rsidP="00D21B6E">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PSDF biudžetui</w:t>
            </w:r>
          </w:p>
          <w:p w14:paraId="3778A974" w14:textId="77777777" w:rsidR="0060544F" w:rsidRPr="00157C0B" w:rsidRDefault="0060544F" w:rsidP="00D21B6E">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(Eur)</w:t>
            </w:r>
          </w:p>
        </w:tc>
        <w:tc>
          <w:tcPr>
            <w:tcW w:w="2835" w:type="dxa"/>
            <w:shd w:val="clear" w:color="auto" w:fill="D9E2F3" w:themeFill="accent1" w:themeFillTint="33"/>
            <w:vAlign w:val="center"/>
          </w:tcPr>
          <w:p w14:paraId="2B099358" w14:textId="77777777" w:rsidR="0060544F" w:rsidRPr="00157C0B" w:rsidRDefault="0060544F" w:rsidP="00D21B6E">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Bendra nustatyta žala</w:t>
            </w:r>
          </w:p>
          <w:p w14:paraId="29666665" w14:textId="77777777" w:rsidR="0060544F" w:rsidRPr="00157C0B" w:rsidRDefault="0060544F" w:rsidP="00D21B6E">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PSDF biudžetui</w:t>
            </w:r>
          </w:p>
          <w:p w14:paraId="5872F8D9" w14:textId="77777777" w:rsidR="0060544F" w:rsidRPr="00157C0B" w:rsidRDefault="0060544F" w:rsidP="00D21B6E">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157C0B">
              <w:rPr>
                <w:rFonts w:eastAsia="Times New Roman"/>
                <w:color w:val="auto"/>
                <w:sz w:val="20"/>
                <w:szCs w:val="20"/>
              </w:rPr>
              <w:t>(Eur)</w:t>
            </w:r>
          </w:p>
        </w:tc>
      </w:tr>
      <w:tr w:rsidR="00317633" w:rsidRPr="00157C0B" w14:paraId="63730299" w14:textId="77777777" w:rsidTr="0028345B">
        <w:trPr>
          <w:trHeight w:val="264"/>
        </w:trPr>
        <w:tc>
          <w:tcPr>
            <w:cnfStyle w:val="001000000000" w:firstRow="0" w:lastRow="0" w:firstColumn="1" w:lastColumn="0" w:oddVBand="0" w:evenVBand="0" w:oddHBand="0" w:evenHBand="0" w:firstRowFirstColumn="0" w:firstRowLastColumn="0" w:lastRowFirstColumn="0" w:lastRowLastColumn="0"/>
            <w:tcW w:w="1281" w:type="dxa"/>
            <w:vAlign w:val="center"/>
          </w:tcPr>
          <w:p w14:paraId="117C9B76" w14:textId="77777777" w:rsidR="00317633" w:rsidRPr="00157C0B" w:rsidRDefault="00317633" w:rsidP="00317633">
            <w:pPr>
              <w:pStyle w:val="Default"/>
              <w:rPr>
                <w:rFonts w:eastAsia="Times New Roman"/>
                <w:b w:val="0"/>
                <w:bCs w:val="0"/>
                <w:color w:val="auto"/>
                <w:sz w:val="20"/>
              </w:rPr>
            </w:pPr>
            <w:r w:rsidRPr="00157C0B">
              <w:rPr>
                <w:rFonts w:eastAsia="Times New Roman"/>
                <w:color w:val="auto"/>
                <w:sz w:val="20"/>
              </w:rPr>
              <w:t>Vilniaus</w:t>
            </w:r>
          </w:p>
        </w:tc>
        <w:tc>
          <w:tcPr>
            <w:tcW w:w="2689" w:type="dxa"/>
            <w:vAlign w:val="center"/>
          </w:tcPr>
          <w:p w14:paraId="583614A5" w14:textId="4197C381" w:rsidR="00317633" w:rsidRPr="00157C0B" w:rsidRDefault="00317633" w:rsidP="00A23D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57C0B">
              <w:rPr>
                <w:rFonts w:ascii="Times New Roman" w:hAnsi="Times New Roman" w:cs="Times New Roman"/>
                <w:sz w:val="20"/>
                <w:szCs w:val="24"/>
              </w:rPr>
              <w:t>393 727,04</w:t>
            </w:r>
          </w:p>
        </w:tc>
        <w:tc>
          <w:tcPr>
            <w:tcW w:w="2976" w:type="dxa"/>
            <w:vAlign w:val="center"/>
          </w:tcPr>
          <w:p w14:paraId="2DC2E711" w14:textId="03965C4A" w:rsidR="00317633" w:rsidRPr="00157C0B" w:rsidRDefault="00317633" w:rsidP="00A23D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5698D">
              <w:rPr>
                <w:rFonts w:ascii="Times New Roman" w:hAnsi="Times New Roman" w:cs="Times New Roman"/>
                <w:sz w:val="20"/>
                <w:szCs w:val="24"/>
              </w:rPr>
              <w:t>520 773,73</w:t>
            </w:r>
          </w:p>
        </w:tc>
        <w:tc>
          <w:tcPr>
            <w:tcW w:w="2835" w:type="dxa"/>
            <w:vAlign w:val="center"/>
          </w:tcPr>
          <w:p w14:paraId="29274AF3" w14:textId="6B0A5EA3" w:rsidR="00317633" w:rsidRPr="00157C0B" w:rsidRDefault="00B949AC" w:rsidP="00A23D45">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20"/>
                <w:highlight w:val="yellow"/>
              </w:rPr>
            </w:pPr>
            <w:r w:rsidRPr="00B949AC">
              <w:rPr>
                <w:b/>
                <w:bCs/>
                <w:color w:val="auto"/>
                <w:sz w:val="20"/>
              </w:rPr>
              <w:t>914</w:t>
            </w:r>
            <w:r>
              <w:rPr>
                <w:b/>
                <w:bCs/>
                <w:color w:val="auto"/>
                <w:sz w:val="20"/>
              </w:rPr>
              <w:t> </w:t>
            </w:r>
            <w:r w:rsidRPr="00B949AC">
              <w:rPr>
                <w:b/>
                <w:bCs/>
                <w:color w:val="auto"/>
                <w:sz w:val="20"/>
              </w:rPr>
              <w:t>500,77</w:t>
            </w:r>
          </w:p>
        </w:tc>
      </w:tr>
      <w:tr w:rsidR="00317633" w:rsidRPr="00157C0B" w14:paraId="423737D6" w14:textId="77777777" w:rsidTr="0028345B">
        <w:trPr>
          <w:trHeight w:val="167"/>
        </w:trPr>
        <w:tc>
          <w:tcPr>
            <w:cnfStyle w:val="001000000000" w:firstRow="0" w:lastRow="0" w:firstColumn="1" w:lastColumn="0" w:oddVBand="0" w:evenVBand="0" w:oddHBand="0" w:evenHBand="0" w:firstRowFirstColumn="0" w:firstRowLastColumn="0" w:lastRowFirstColumn="0" w:lastRowLastColumn="0"/>
            <w:tcW w:w="1281" w:type="dxa"/>
            <w:vAlign w:val="center"/>
          </w:tcPr>
          <w:p w14:paraId="4E379BDF" w14:textId="77777777" w:rsidR="00317633" w:rsidRPr="00157C0B" w:rsidRDefault="00317633" w:rsidP="00317633">
            <w:pPr>
              <w:pStyle w:val="Default"/>
              <w:rPr>
                <w:rFonts w:eastAsia="Times New Roman"/>
                <w:b w:val="0"/>
                <w:bCs w:val="0"/>
                <w:color w:val="auto"/>
                <w:sz w:val="20"/>
              </w:rPr>
            </w:pPr>
            <w:r w:rsidRPr="00157C0B">
              <w:rPr>
                <w:rFonts w:eastAsia="Times New Roman"/>
                <w:color w:val="auto"/>
                <w:sz w:val="20"/>
              </w:rPr>
              <w:t>Kauno</w:t>
            </w:r>
          </w:p>
        </w:tc>
        <w:tc>
          <w:tcPr>
            <w:tcW w:w="2689" w:type="dxa"/>
            <w:vAlign w:val="center"/>
          </w:tcPr>
          <w:p w14:paraId="74A1EA12" w14:textId="0F66F93D" w:rsidR="00317633" w:rsidRPr="00157C0B" w:rsidRDefault="00317633" w:rsidP="00A23D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57C0B">
              <w:rPr>
                <w:rFonts w:ascii="Times New Roman" w:hAnsi="Times New Roman" w:cs="Times New Roman"/>
                <w:sz w:val="20"/>
                <w:szCs w:val="24"/>
              </w:rPr>
              <w:t>63 515,38</w:t>
            </w:r>
          </w:p>
        </w:tc>
        <w:tc>
          <w:tcPr>
            <w:tcW w:w="2976" w:type="dxa"/>
            <w:vAlign w:val="center"/>
          </w:tcPr>
          <w:p w14:paraId="029DBA4A" w14:textId="7C746582" w:rsidR="00317633" w:rsidRPr="00157C0B" w:rsidRDefault="00317633" w:rsidP="00A23D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5698D">
              <w:rPr>
                <w:rFonts w:ascii="Times New Roman" w:hAnsi="Times New Roman" w:cs="Times New Roman"/>
                <w:sz w:val="20"/>
                <w:szCs w:val="24"/>
              </w:rPr>
              <w:t>183 942,65</w:t>
            </w:r>
          </w:p>
        </w:tc>
        <w:tc>
          <w:tcPr>
            <w:tcW w:w="2835" w:type="dxa"/>
            <w:vAlign w:val="center"/>
          </w:tcPr>
          <w:p w14:paraId="78006532" w14:textId="18672FF4" w:rsidR="00317633" w:rsidRPr="00157C0B" w:rsidRDefault="00B949AC" w:rsidP="00A23D45">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20"/>
              </w:rPr>
            </w:pPr>
            <w:r w:rsidRPr="00B949AC">
              <w:rPr>
                <w:b/>
                <w:bCs/>
                <w:color w:val="auto"/>
                <w:sz w:val="20"/>
              </w:rPr>
              <w:t>247</w:t>
            </w:r>
            <w:r>
              <w:rPr>
                <w:b/>
                <w:bCs/>
                <w:color w:val="auto"/>
                <w:sz w:val="20"/>
              </w:rPr>
              <w:t> </w:t>
            </w:r>
            <w:r w:rsidRPr="00B949AC">
              <w:rPr>
                <w:b/>
                <w:bCs/>
                <w:color w:val="auto"/>
                <w:sz w:val="20"/>
              </w:rPr>
              <w:t>458,03</w:t>
            </w:r>
          </w:p>
        </w:tc>
      </w:tr>
      <w:tr w:rsidR="00317633" w:rsidRPr="00157C0B" w14:paraId="5B00C2F4" w14:textId="77777777" w:rsidTr="0028345B">
        <w:trPr>
          <w:trHeight w:val="164"/>
        </w:trPr>
        <w:tc>
          <w:tcPr>
            <w:cnfStyle w:val="001000000000" w:firstRow="0" w:lastRow="0" w:firstColumn="1" w:lastColumn="0" w:oddVBand="0" w:evenVBand="0" w:oddHBand="0" w:evenHBand="0" w:firstRowFirstColumn="0" w:firstRowLastColumn="0" w:lastRowFirstColumn="0" w:lastRowLastColumn="0"/>
            <w:tcW w:w="1281" w:type="dxa"/>
            <w:vAlign w:val="center"/>
          </w:tcPr>
          <w:p w14:paraId="5B65E348" w14:textId="77777777" w:rsidR="00317633" w:rsidRPr="00157C0B" w:rsidRDefault="00317633" w:rsidP="00317633">
            <w:pPr>
              <w:pStyle w:val="Default"/>
              <w:rPr>
                <w:rFonts w:eastAsia="Times New Roman"/>
                <w:b w:val="0"/>
                <w:bCs w:val="0"/>
                <w:color w:val="auto"/>
                <w:sz w:val="20"/>
              </w:rPr>
            </w:pPr>
            <w:r w:rsidRPr="00157C0B">
              <w:rPr>
                <w:rFonts w:eastAsia="Times New Roman"/>
                <w:color w:val="auto"/>
                <w:sz w:val="20"/>
              </w:rPr>
              <w:t>Klaipėdos</w:t>
            </w:r>
          </w:p>
        </w:tc>
        <w:tc>
          <w:tcPr>
            <w:tcW w:w="2689" w:type="dxa"/>
            <w:vAlign w:val="center"/>
          </w:tcPr>
          <w:p w14:paraId="522365AC" w14:textId="5C392810" w:rsidR="00317633" w:rsidRPr="00157C0B" w:rsidRDefault="009267FB" w:rsidP="00A23D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9267FB">
              <w:rPr>
                <w:rFonts w:ascii="Times New Roman" w:hAnsi="Times New Roman" w:cs="Times New Roman"/>
                <w:sz w:val="20"/>
                <w:szCs w:val="24"/>
              </w:rPr>
              <w:t>157</w:t>
            </w:r>
            <w:r>
              <w:rPr>
                <w:rFonts w:ascii="Times New Roman" w:hAnsi="Times New Roman" w:cs="Times New Roman"/>
                <w:sz w:val="20"/>
                <w:szCs w:val="24"/>
              </w:rPr>
              <w:t> </w:t>
            </w:r>
            <w:r w:rsidRPr="009267FB">
              <w:rPr>
                <w:rFonts w:ascii="Times New Roman" w:hAnsi="Times New Roman" w:cs="Times New Roman"/>
                <w:sz w:val="20"/>
                <w:szCs w:val="24"/>
              </w:rPr>
              <w:t>783,66</w:t>
            </w:r>
          </w:p>
        </w:tc>
        <w:tc>
          <w:tcPr>
            <w:tcW w:w="2976" w:type="dxa"/>
            <w:vAlign w:val="center"/>
          </w:tcPr>
          <w:p w14:paraId="33005BAA" w14:textId="29209710" w:rsidR="00317633" w:rsidRPr="00157C0B" w:rsidRDefault="00317633" w:rsidP="00A23D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5698D">
              <w:rPr>
                <w:rFonts w:ascii="Times New Roman" w:hAnsi="Times New Roman" w:cs="Times New Roman"/>
                <w:sz w:val="20"/>
                <w:szCs w:val="24"/>
              </w:rPr>
              <w:t>657 939,51</w:t>
            </w:r>
          </w:p>
        </w:tc>
        <w:tc>
          <w:tcPr>
            <w:tcW w:w="2835" w:type="dxa"/>
            <w:vAlign w:val="center"/>
          </w:tcPr>
          <w:p w14:paraId="2FC95CFB" w14:textId="62500140" w:rsidR="00317633" w:rsidRPr="00157C0B" w:rsidRDefault="00B949AC" w:rsidP="00A23D45">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20"/>
              </w:rPr>
            </w:pPr>
            <w:r w:rsidRPr="00B949AC">
              <w:rPr>
                <w:b/>
                <w:bCs/>
                <w:color w:val="auto"/>
                <w:sz w:val="20"/>
              </w:rPr>
              <w:t>815</w:t>
            </w:r>
            <w:r>
              <w:rPr>
                <w:b/>
                <w:bCs/>
                <w:color w:val="auto"/>
                <w:sz w:val="20"/>
              </w:rPr>
              <w:t> </w:t>
            </w:r>
            <w:r w:rsidRPr="00B949AC">
              <w:rPr>
                <w:b/>
                <w:bCs/>
                <w:color w:val="auto"/>
                <w:sz w:val="20"/>
              </w:rPr>
              <w:t>7</w:t>
            </w:r>
            <w:r w:rsidR="009267FB">
              <w:rPr>
                <w:b/>
                <w:bCs/>
                <w:color w:val="auto"/>
                <w:sz w:val="20"/>
              </w:rPr>
              <w:t>23</w:t>
            </w:r>
            <w:r w:rsidRPr="00B949AC">
              <w:rPr>
                <w:b/>
                <w:bCs/>
                <w:color w:val="auto"/>
                <w:sz w:val="20"/>
              </w:rPr>
              <w:t>,</w:t>
            </w:r>
            <w:r w:rsidR="009267FB">
              <w:rPr>
                <w:b/>
                <w:bCs/>
                <w:color w:val="auto"/>
                <w:sz w:val="20"/>
              </w:rPr>
              <w:t>17</w:t>
            </w:r>
          </w:p>
        </w:tc>
      </w:tr>
      <w:tr w:rsidR="00317633" w:rsidRPr="00157C0B" w14:paraId="3ACAD1B9" w14:textId="77777777" w:rsidTr="0028345B">
        <w:trPr>
          <w:trHeight w:val="139"/>
        </w:trPr>
        <w:tc>
          <w:tcPr>
            <w:cnfStyle w:val="001000000000" w:firstRow="0" w:lastRow="0" w:firstColumn="1" w:lastColumn="0" w:oddVBand="0" w:evenVBand="0" w:oddHBand="0" w:evenHBand="0" w:firstRowFirstColumn="0" w:firstRowLastColumn="0" w:lastRowFirstColumn="0" w:lastRowLastColumn="0"/>
            <w:tcW w:w="1281" w:type="dxa"/>
            <w:vAlign w:val="center"/>
          </w:tcPr>
          <w:p w14:paraId="4743E634" w14:textId="77777777" w:rsidR="00317633" w:rsidRPr="00157C0B" w:rsidRDefault="00317633" w:rsidP="00317633">
            <w:pPr>
              <w:pStyle w:val="Default"/>
              <w:rPr>
                <w:rFonts w:eastAsia="Times New Roman"/>
                <w:b w:val="0"/>
                <w:bCs w:val="0"/>
                <w:color w:val="auto"/>
                <w:sz w:val="20"/>
              </w:rPr>
            </w:pPr>
            <w:r w:rsidRPr="00157C0B">
              <w:rPr>
                <w:rFonts w:eastAsia="Times New Roman"/>
                <w:color w:val="auto"/>
                <w:sz w:val="20"/>
              </w:rPr>
              <w:t>Šiaulių</w:t>
            </w:r>
          </w:p>
        </w:tc>
        <w:tc>
          <w:tcPr>
            <w:tcW w:w="2689" w:type="dxa"/>
            <w:vAlign w:val="center"/>
          </w:tcPr>
          <w:p w14:paraId="30EA43EF" w14:textId="324CD62F" w:rsidR="00317633" w:rsidRPr="00157C0B" w:rsidRDefault="00317633" w:rsidP="00A23D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57C0B">
              <w:rPr>
                <w:rFonts w:ascii="Times New Roman" w:hAnsi="Times New Roman" w:cs="Times New Roman"/>
                <w:sz w:val="20"/>
                <w:szCs w:val="24"/>
              </w:rPr>
              <w:t>9 606,04</w:t>
            </w:r>
          </w:p>
        </w:tc>
        <w:tc>
          <w:tcPr>
            <w:tcW w:w="2976" w:type="dxa"/>
            <w:vAlign w:val="center"/>
          </w:tcPr>
          <w:p w14:paraId="263CFEAB" w14:textId="48C18C0F" w:rsidR="00317633" w:rsidRPr="00157C0B" w:rsidRDefault="00317633" w:rsidP="00A23D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5698D">
              <w:rPr>
                <w:rFonts w:ascii="Times New Roman" w:hAnsi="Times New Roman" w:cs="Times New Roman"/>
                <w:sz w:val="20"/>
                <w:szCs w:val="24"/>
              </w:rPr>
              <w:t>61 711,23</w:t>
            </w:r>
          </w:p>
        </w:tc>
        <w:tc>
          <w:tcPr>
            <w:tcW w:w="2835" w:type="dxa"/>
            <w:vAlign w:val="center"/>
          </w:tcPr>
          <w:p w14:paraId="0D02AD9B" w14:textId="44270420" w:rsidR="00317633" w:rsidRPr="00157C0B" w:rsidRDefault="00B949AC" w:rsidP="00A23D45">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20"/>
              </w:rPr>
            </w:pPr>
            <w:r w:rsidRPr="00B949AC">
              <w:rPr>
                <w:b/>
                <w:bCs/>
                <w:color w:val="auto"/>
                <w:sz w:val="20"/>
              </w:rPr>
              <w:t>71</w:t>
            </w:r>
            <w:r>
              <w:rPr>
                <w:b/>
                <w:bCs/>
                <w:color w:val="auto"/>
                <w:sz w:val="20"/>
              </w:rPr>
              <w:t> </w:t>
            </w:r>
            <w:r w:rsidRPr="00B949AC">
              <w:rPr>
                <w:b/>
                <w:bCs/>
                <w:color w:val="auto"/>
                <w:sz w:val="20"/>
              </w:rPr>
              <w:t>317,27</w:t>
            </w:r>
          </w:p>
        </w:tc>
      </w:tr>
      <w:tr w:rsidR="00317633" w:rsidRPr="00157C0B" w14:paraId="4F66586D" w14:textId="77777777" w:rsidTr="0028345B">
        <w:trPr>
          <w:trHeight w:val="179"/>
        </w:trPr>
        <w:tc>
          <w:tcPr>
            <w:cnfStyle w:val="001000000000" w:firstRow="0" w:lastRow="0" w:firstColumn="1" w:lastColumn="0" w:oddVBand="0" w:evenVBand="0" w:oddHBand="0" w:evenHBand="0" w:firstRowFirstColumn="0" w:firstRowLastColumn="0" w:lastRowFirstColumn="0" w:lastRowLastColumn="0"/>
            <w:tcW w:w="1281" w:type="dxa"/>
            <w:vAlign w:val="center"/>
          </w:tcPr>
          <w:p w14:paraId="11DC8BD0" w14:textId="77777777" w:rsidR="00317633" w:rsidRPr="00157C0B" w:rsidRDefault="00317633" w:rsidP="00317633">
            <w:pPr>
              <w:pStyle w:val="Default"/>
              <w:rPr>
                <w:rFonts w:eastAsia="Times New Roman"/>
                <w:b w:val="0"/>
                <w:bCs w:val="0"/>
                <w:color w:val="auto"/>
                <w:sz w:val="20"/>
              </w:rPr>
            </w:pPr>
            <w:r w:rsidRPr="00157C0B">
              <w:rPr>
                <w:rFonts w:eastAsia="Times New Roman"/>
                <w:color w:val="auto"/>
                <w:sz w:val="20"/>
              </w:rPr>
              <w:t>Panevėžio</w:t>
            </w:r>
          </w:p>
        </w:tc>
        <w:tc>
          <w:tcPr>
            <w:tcW w:w="2689" w:type="dxa"/>
            <w:vAlign w:val="center"/>
          </w:tcPr>
          <w:p w14:paraId="0CA0E322" w14:textId="27D60FF3" w:rsidR="00317633" w:rsidRPr="00157C0B" w:rsidRDefault="00317633" w:rsidP="00A23D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57C0B">
              <w:rPr>
                <w:rFonts w:ascii="Times New Roman" w:hAnsi="Times New Roman" w:cs="Times New Roman"/>
                <w:sz w:val="20"/>
                <w:szCs w:val="24"/>
              </w:rPr>
              <w:t>8 434,46</w:t>
            </w:r>
          </w:p>
        </w:tc>
        <w:tc>
          <w:tcPr>
            <w:tcW w:w="2976" w:type="dxa"/>
            <w:vAlign w:val="center"/>
          </w:tcPr>
          <w:p w14:paraId="13364BAC" w14:textId="5A2EAC53" w:rsidR="00317633" w:rsidRPr="00157C0B" w:rsidRDefault="00317633" w:rsidP="00A23D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5698D">
              <w:rPr>
                <w:rFonts w:ascii="Times New Roman" w:hAnsi="Times New Roman" w:cs="Times New Roman"/>
                <w:sz w:val="20"/>
                <w:szCs w:val="24"/>
              </w:rPr>
              <w:t>189 038,07</w:t>
            </w:r>
          </w:p>
        </w:tc>
        <w:tc>
          <w:tcPr>
            <w:tcW w:w="2835" w:type="dxa"/>
            <w:vAlign w:val="center"/>
          </w:tcPr>
          <w:p w14:paraId="2501C16E" w14:textId="4B95DE31" w:rsidR="00317633" w:rsidRPr="00157C0B" w:rsidRDefault="00B949AC" w:rsidP="00A23D45">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20"/>
              </w:rPr>
            </w:pPr>
            <w:r w:rsidRPr="00B949AC">
              <w:rPr>
                <w:b/>
                <w:bCs/>
                <w:color w:val="auto"/>
                <w:sz w:val="20"/>
              </w:rPr>
              <w:t>197</w:t>
            </w:r>
            <w:r>
              <w:rPr>
                <w:b/>
                <w:bCs/>
                <w:color w:val="auto"/>
                <w:sz w:val="20"/>
              </w:rPr>
              <w:t> </w:t>
            </w:r>
            <w:r w:rsidRPr="00B949AC">
              <w:rPr>
                <w:b/>
                <w:bCs/>
                <w:color w:val="auto"/>
                <w:sz w:val="20"/>
              </w:rPr>
              <w:t>472,53</w:t>
            </w:r>
          </w:p>
        </w:tc>
      </w:tr>
      <w:tr w:rsidR="00317633" w:rsidRPr="00157C0B" w14:paraId="6E1397E5" w14:textId="77777777" w:rsidTr="0028345B">
        <w:trPr>
          <w:trHeight w:val="93"/>
        </w:trPr>
        <w:tc>
          <w:tcPr>
            <w:cnfStyle w:val="001000000000" w:firstRow="0" w:lastRow="0" w:firstColumn="1" w:lastColumn="0" w:oddVBand="0" w:evenVBand="0" w:oddHBand="0" w:evenHBand="0" w:firstRowFirstColumn="0" w:firstRowLastColumn="0" w:lastRowFirstColumn="0" w:lastRowLastColumn="0"/>
            <w:tcW w:w="1281" w:type="dxa"/>
            <w:vAlign w:val="center"/>
          </w:tcPr>
          <w:p w14:paraId="245B21AB" w14:textId="77777777" w:rsidR="00317633" w:rsidRPr="00157C0B" w:rsidRDefault="00317633" w:rsidP="0055141B">
            <w:pPr>
              <w:pStyle w:val="Default"/>
              <w:rPr>
                <w:rFonts w:eastAsia="Times New Roman"/>
                <w:b w:val="0"/>
                <w:bCs w:val="0"/>
                <w:color w:val="auto"/>
                <w:sz w:val="20"/>
              </w:rPr>
            </w:pPr>
            <w:r w:rsidRPr="00157C0B">
              <w:rPr>
                <w:rFonts w:eastAsia="Times New Roman"/>
                <w:color w:val="auto"/>
                <w:sz w:val="20"/>
              </w:rPr>
              <w:t>Iš viso</w:t>
            </w:r>
          </w:p>
        </w:tc>
        <w:tc>
          <w:tcPr>
            <w:tcW w:w="2689" w:type="dxa"/>
            <w:vAlign w:val="center"/>
          </w:tcPr>
          <w:p w14:paraId="1EE65A3C" w14:textId="4F79E92C" w:rsidR="00317633" w:rsidRPr="00C14B6B" w:rsidRDefault="00317633" w:rsidP="00A23D45">
            <w:pPr>
              <w:pStyle w:val="Default"/>
              <w:jc w:val="center"/>
              <w:cnfStyle w:val="000000000000" w:firstRow="0" w:lastRow="0" w:firstColumn="0" w:lastColumn="0" w:oddVBand="0" w:evenVBand="0" w:oddHBand="0" w:evenHBand="0" w:firstRowFirstColumn="0" w:firstRowLastColumn="0" w:lastRowFirstColumn="0" w:lastRowLastColumn="0"/>
              <w:rPr>
                <w:b/>
                <w:color w:val="auto"/>
                <w:sz w:val="20"/>
              </w:rPr>
            </w:pPr>
            <w:r w:rsidRPr="00C14B6B">
              <w:rPr>
                <w:b/>
                <w:color w:val="auto"/>
                <w:sz w:val="20"/>
              </w:rPr>
              <w:t>633 </w:t>
            </w:r>
            <w:r w:rsidR="009267FB" w:rsidRPr="00C14B6B">
              <w:rPr>
                <w:b/>
                <w:color w:val="auto"/>
                <w:sz w:val="20"/>
              </w:rPr>
              <w:t>066</w:t>
            </w:r>
            <w:r w:rsidRPr="00C14B6B">
              <w:rPr>
                <w:b/>
                <w:color w:val="auto"/>
                <w:sz w:val="20"/>
              </w:rPr>
              <w:t>,</w:t>
            </w:r>
            <w:r w:rsidR="009267FB" w:rsidRPr="00C14B6B">
              <w:rPr>
                <w:b/>
                <w:color w:val="auto"/>
                <w:sz w:val="20"/>
              </w:rPr>
              <w:t>58</w:t>
            </w:r>
          </w:p>
        </w:tc>
        <w:tc>
          <w:tcPr>
            <w:tcW w:w="2976" w:type="dxa"/>
            <w:vAlign w:val="center"/>
          </w:tcPr>
          <w:p w14:paraId="0620612E" w14:textId="12F321FE" w:rsidR="00317633" w:rsidRPr="00C14B6B" w:rsidRDefault="00317633" w:rsidP="00A23D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sidRPr="00C14B6B">
              <w:rPr>
                <w:rFonts w:ascii="Times New Roman" w:hAnsi="Times New Roman" w:cs="Times New Roman"/>
                <w:b/>
                <w:sz w:val="20"/>
                <w:szCs w:val="24"/>
              </w:rPr>
              <w:t>1 613 405,19</w:t>
            </w:r>
          </w:p>
        </w:tc>
        <w:tc>
          <w:tcPr>
            <w:tcW w:w="2835" w:type="dxa"/>
            <w:vAlign w:val="center"/>
          </w:tcPr>
          <w:p w14:paraId="233CC9BA" w14:textId="146BBB0F" w:rsidR="00317633" w:rsidRPr="00157C0B" w:rsidRDefault="00B949AC" w:rsidP="00A23D45">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20"/>
                <w:highlight w:val="yellow"/>
              </w:rPr>
            </w:pPr>
            <w:r w:rsidRPr="00B949AC">
              <w:rPr>
                <w:b/>
                <w:bCs/>
                <w:color w:val="auto"/>
                <w:sz w:val="20"/>
              </w:rPr>
              <w:t>2</w:t>
            </w:r>
            <w:r>
              <w:rPr>
                <w:b/>
                <w:bCs/>
                <w:color w:val="auto"/>
                <w:sz w:val="20"/>
              </w:rPr>
              <w:t> </w:t>
            </w:r>
            <w:r w:rsidRPr="00B949AC">
              <w:rPr>
                <w:b/>
                <w:bCs/>
                <w:color w:val="auto"/>
                <w:sz w:val="20"/>
              </w:rPr>
              <w:t>246</w:t>
            </w:r>
            <w:r>
              <w:rPr>
                <w:b/>
                <w:bCs/>
                <w:color w:val="auto"/>
                <w:sz w:val="20"/>
              </w:rPr>
              <w:t> </w:t>
            </w:r>
            <w:r w:rsidR="009267FB">
              <w:rPr>
                <w:b/>
                <w:bCs/>
                <w:color w:val="auto"/>
                <w:sz w:val="20"/>
              </w:rPr>
              <w:t>471</w:t>
            </w:r>
            <w:r w:rsidRPr="00B949AC">
              <w:rPr>
                <w:b/>
                <w:bCs/>
                <w:color w:val="auto"/>
                <w:sz w:val="20"/>
              </w:rPr>
              <w:t>,</w:t>
            </w:r>
            <w:r w:rsidR="009267FB">
              <w:rPr>
                <w:b/>
                <w:bCs/>
                <w:color w:val="auto"/>
                <w:sz w:val="20"/>
              </w:rPr>
              <w:t>77</w:t>
            </w:r>
          </w:p>
        </w:tc>
      </w:tr>
    </w:tbl>
    <w:p w14:paraId="12F73603" w14:textId="77777777" w:rsidR="00283F46" w:rsidRPr="00157C0B" w:rsidRDefault="00283F46" w:rsidP="00283F46">
      <w:pPr>
        <w:pStyle w:val="Default"/>
        <w:jc w:val="both"/>
      </w:pPr>
    </w:p>
    <w:p w14:paraId="559DE6CB" w14:textId="3ECABA47" w:rsidR="008476B8" w:rsidRDefault="00F623A5" w:rsidP="00B51CA0">
      <w:pPr>
        <w:pStyle w:val="Default"/>
        <w:ind w:firstLine="851"/>
        <w:jc w:val="both"/>
        <w:rPr>
          <w:lang w:eastAsia="ja-JP"/>
        </w:rPr>
      </w:pPr>
      <w:r w:rsidRPr="00157C0B">
        <w:rPr>
          <w:lang w:eastAsia="ja-JP"/>
        </w:rPr>
        <w:t>D</w:t>
      </w:r>
      <w:r w:rsidR="00952A49" w:rsidRPr="00157C0B">
        <w:rPr>
          <w:lang w:eastAsia="ja-JP"/>
        </w:rPr>
        <w:t>aug</w:t>
      </w:r>
      <w:r w:rsidR="00FA22E3" w:rsidRPr="00157C0B">
        <w:rPr>
          <w:lang w:eastAsia="ja-JP"/>
        </w:rPr>
        <w:t>iau</w:t>
      </w:r>
      <w:r w:rsidR="00952A49" w:rsidRPr="00157C0B">
        <w:rPr>
          <w:lang w:eastAsia="ja-JP"/>
        </w:rPr>
        <w:t xml:space="preserve"> d</w:t>
      </w:r>
      <w:r w:rsidR="008476B8" w:rsidRPr="00157C0B">
        <w:rPr>
          <w:lang w:eastAsia="ja-JP"/>
        </w:rPr>
        <w:t xml:space="preserve">ėmesio skiriant </w:t>
      </w:r>
      <w:r w:rsidR="008476B8" w:rsidRPr="00157C0B">
        <w:t>ūkio subjektų veiklos duomenų, kaupiamų IS</w:t>
      </w:r>
      <w:r w:rsidR="00B949AC">
        <w:t> </w:t>
      </w:r>
      <w:r w:rsidR="008476B8" w:rsidRPr="00157C0B">
        <w:t xml:space="preserve">„Sveidra“, </w:t>
      </w:r>
      <w:r w:rsidR="008476B8" w:rsidRPr="00157C0B">
        <w:rPr>
          <w:lang w:eastAsia="ja-JP"/>
        </w:rPr>
        <w:t>stebėsenai</w:t>
      </w:r>
      <w:r w:rsidRPr="00157C0B">
        <w:rPr>
          <w:lang w:eastAsia="ja-JP"/>
        </w:rPr>
        <w:t>,</w:t>
      </w:r>
      <w:r w:rsidR="008476B8" w:rsidRPr="00157C0B">
        <w:rPr>
          <w:lang w:eastAsia="ja-JP"/>
        </w:rPr>
        <w:t xml:space="preserve"> statistinių kortelių </w:t>
      </w:r>
      <w:r w:rsidR="009A1B29" w:rsidRPr="00157C0B">
        <w:rPr>
          <w:lang w:eastAsia="ja-JP"/>
        </w:rPr>
        <w:t>klaidų taisymui</w:t>
      </w:r>
      <w:r w:rsidR="008476B8" w:rsidRPr="00157C0B">
        <w:rPr>
          <w:lang w:eastAsia="ja-JP"/>
        </w:rPr>
        <w:t xml:space="preserve"> </w:t>
      </w:r>
      <w:r w:rsidRPr="00157C0B">
        <w:rPr>
          <w:lang w:eastAsia="ja-JP"/>
        </w:rPr>
        <w:t xml:space="preserve">ir išankstiniam dokumentų patikrinimui, </w:t>
      </w:r>
      <w:r w:rsidR="008476B8" w:rsidRPr="00157C0B">
        <w:rPr>
          <w:lang w:eastAsia="ja-JP"/>
        </w:rPr>
        <w:t xml:space="preserve">išvengiama realios žalos PSDF biudžetui. </w:t>
      </w:r>
      <w:r w:rsidR="008476B8" w:rsidRPr="00661D65">
        <w:rPr>
          <w:color w:val="auto"/>
          <w:lang w:eastAsia="ja-JP"/>
        </w:rPr>
        <w:t>202</w:t>
      </w:r>
      <w:r w:rsidR="00197B4A" w:rsidRPr="00661D65">
        <w:rPr>
          <w:color w:val="auto"/>
          <w:lang w:eastAsia="ja-JP"/>
        </w:rPr>
        <w:t>3</w:t>
      </w:r>
      <w:r w:rsidR="00B949AC" w:rsidRPr="00661D65">
        <w:rPr>
          <w:color w:val="auto"/>
          <w:lang w:eastAsia="ja-JP"/>
        </w:rPr>
        <w:t> </w:t>
      </w:r>
      <w:r w:rsidR="008476B8" w:rsidRPr="00661D65">
        <w:rPr>
          <w:color w:val="auto"/>
          <w:lang w:eastAsia="ja-JP"/>
        </w:rPr>
        <w:t xml:space="preserve">m. išvengtos žalos PSDF biudžetui dydis viršijo faktinę nustatytą žalą </w:t>
      </w:r>
      <w:r w:rsidR="000A0609" w:rsidRPr="00661D65">
        <w:rPr>
          <w:color w:val="auto"/>
          <w:lang w:eastAsia="ja-JP"/>
        </w:rPr>
        <w:t>visose</w:t>
      </w:r>
      <w:r w:rsidR="00197B4A" w:rsidRPr="00661D65">
        <w:rPr>
          <w:color w:val="auto"/>
          <w:lang w:eastAsia="ja-JP"/>
        </w:rPr>
        <w:t xml:space="preserve"> </w:t>
      </w:r>
      <w:r w:rsidR="008476B8" w:rsidRPr="00661D65">
        <w:rPr>
          <w:color w:val="auto"/>
          <w:lang w:eastAsia="ja-JP"/>
        </w:rPr>
        <w:t>TLK</w:t>
      </w:r>
      <w:r w:rsidR="003E280C" w:rsidRPr="00661D65">
        <w:rPr>
          <w:color w:val="auto"/>
          <w:lang w:eastAsia="ja-JP"/>
        </w:rPr>
        <w:t>,</w:t>
      </w:r>
      <w:r w:rsidR="000A0609" w:rsidRPr="00661D65">
        <w:rPr>
          <w:color w:val="auto"/>
          <w:lang w:eastAsia="ja-JP"/>
        </w:rPr>
        <w:t xml:space="preserve"> o 2024 m.</w:t>
      </w:r>
      <w:r w:rsidR="003E280C" w:rsidRPr="00661D65">
        <w:rPr>
          <w:color w:val="auto"/>
          <w:lang w:eastAsia="ja-JP"/>
        </w:rPr>
        <w:t xml:space="preserve"> </w:t>
      </w:r>
      <w:r w:rsidR="000A0609" w:rsidRPr="00661D65">
        <w:rPr>
          <w:color w:val="auto"/>
          <w:lang w:eastAsia="ja-JP"/>
        </w:rPr>
        <w:t xml:space="preserve">– </w:t>
      </w:r>
      <w:r w:rsidR="003E280C" w:rsidRPr="00661D65">
        <w:rPr>
          <w:color w:val="auto"/>
          <w:lang w:eastAsia="ja-JP"/>
        </w:rPr>
        <w:t>keturiose</w:t>
      </w:r>
      <w:r w:rsidR="00197B4A" w:rsidRPr="00661D65">
        <w:rPr>
          <w:color w:val="auto"/>
          <w:lang w:eastAsia="ja-JP"/>
        </w:rPr>
        <w:t xml:space="preserve"> </w:t>
      </w:r>
      <w:r w:rsidR="008476B8" w:rsidRPr="00661D65">
        <w:rPr>
          <w:color w:val="auto"/>
          <w:lang w:eastAsia="ja-JP"/>
        </w:rPr>
        <w:t>TLK</w:t>
      </w:r>
      <w:r w:rsidR="003E280C" w:rsidRPr="00661D65">
        <w:rPr>
          <w:color w:val="auto"/>
          <w:lang w:eastAsia="ja-JP"/>
        </w:rPr>
        <w:t>, išskyrus Klaipėdos TLK</w:t>
      </w:r>
      <w:r w:rsidR="00F45467" w:rsidRPr="00661D65">
        <w:rPr>
          <w:color w:val="auto"/>
          <w:lang w:eastAsia="ja-JP"/>
        </w:rPr>
        <w:t xml:space="preserve"> </w:t>
      </w:r>
      <w:r w:rsidR="00F45467" w:rsidRPr="00157C0B">
        <w:rPr>
          <w:lang w:eastAsia="ja-JP"/>
        </w:rPr>
        <w:t>(žr. 1</w:t>
      </w:r>
      <w:r w:rsidR="003B6FD5">
        <w:rPr>
          <w:lang w:eastAsia="ja-JP"/>
        </w:rPr>
        <w:t xml:space="preserve"> ir 2</w:t>
      </w:r>
      <w:r w:rsidR="00F45467" w:rsidRPr="00157C0B">
        <w:rPr>
          <w:lang w:eastAsia="ja-JP"/>
        </w:rPr>
        <w:t xml:space="preserve"> paveikslą).</w:t>
      </w:r>
      <w:r w:rsidR="00B61D82">
        <w:rPr>
          <w:lang w:eastAsia="ja-JP"/>
        </w:rPr>
        <w:t xml:space="preserve"> </w:t>
      </w:r>
    </w:p>
    <w:p w14:paraId="3A3749F1" w14:textId="77777777" w:rsidR="009F691E" w:rsidRDefault="009F691E" w:rsidP="00283F46">
      <w:pPr>
        <w:pStyle w:val="Default"/>
        <w:ind w:firstLine="709"/>
        <w:jc w:val="both"/>
        <w:rPr>
          <w:lang w:eastAsia="ja-JP"/>
        </w:rPr>
      </w:pPr>
    </w:p>
    <w:p w14:paraId="79E8CC54" w14:textId="4320E232" w:rsidR="009F691E" w:rsidRDefault="009F691E" w:rsidP="00D25871">
      <w:pPr>
        <w:pStyle w:val="Default"/>
        <w:jc w:val="both"/>
        <w:rPr>
          <w:lang w:eastAsia="ja-JP"/>
        </w:rPr>
      </w:pPr>
      <w:r>
        <w:rPr>
          <w:noProof/>
        </w:rPr>
        <w:lastRenderedPageBreak/>
        <w:drawing>
          <wp:inline distT="0" distB="0" distL="0" distR="0" wp14:anchorId="5F927167" wp14:editId="3A97B256">
            <wp:extent cx="6120000" cy="2880000"/>
            <wp:effectExtent l="0" t="0" r="14605" b="15875"/>
            <wp:docPr id="1185680520" name="Diagrama 1">
              <a:extLst xmlns:a="http://schemas.openxmlformats.org/drawingml/2006/main">
                <a:ext uri="{FF2B5EF4-FFF2-40B4-BE49-F238E27FC236}">
                  <a16:creationId xmlns:a16="http://schemas.microsoft.com/office/drawing/2014/main" id="{43CFFE98-6A5D-4D47-82F3-FB9658E955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A924A9" w14:textId="3882E7A0" w:rsidR="003B6FD5" w:rsidRPr="0055141B" w:rsidRDefault="0055141B" w:rsidP="00C128D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r w:rsidR="003B6FD5" w:rsidRPr="0055141B">
        <w:rPr>
          <w:rFonts w:ascii="Times New Roman" w:hAnsi="Times New Roman" w:cs="Times New Roman"/>
          <w:i/>
          <w:iCs/>
          <w:sz w:val="24"/>
          <w:szCs w:val="24"/>
        </w:rPr>
        <w:t>paveikslas. 2024 m. nustatytos žalos PSDF biudžetui ir išvengtos žalos santykis</w:t>
      </w:r>
    </w:p>
    <w:p w14:paraId="1EDF549F" w14:textId="78BE0B3C" w:rsidR="006C339D" w:rsidRPr="00157C0B" w:rsidRDefault="006C339D" w:rsidP="008476B8">
      <w:pPr>
        <w:pStyle w:val="Default"/>
        <w:ind w:firstLine="720"/>
        <w:jc w:val="both"/>
        <w:rPr>
          <w:lang w:eastAsia="ja-JP"/>
        </w:rPr>
      </w:pPr>
    </w:p>
    <w:p w14:paraId="4CB88977" w14:textId="77777777" w:rsidR="00E0348D" w:rsidRPr="00157C0B" w:rsidRDefault="00B91A47" w:rsidP="007A53D5">
      <w:pPr>
        <w:spacing w:after="0" w:line="240" w:lineRule="auto"/>
        <w:jc w:val="both"/>
        <w:rPr>
          <w:rFonts w:ascii="Times New Roman" w:hAnsi="Times New Roman" w:cs="Times New Roman"/>
          <w:sz w:val="24"/>
          <w:szCs w:val="24"/>
        </w:rPr>
      </w:pPr>
      <w:r w:rsidRPr="00661D65">
        <w:rPr>
          <w:rFonts w:ascii="Times New Roman" w:hAnsi="Times New Roman" w:cs="Times New Roman"/>
          <w:noProof/>
        </w:rPr>
        <w:drawing>
          <wp:inline distT="0" distB="0" distL="0" distR="0" wp14:anchorId="4DBD0E01" wp14:editId="1AC72995">
            <wp:extent cx="6120000" cy="2880000"/>
            <wp:effectExtent l="0" t="0" r="14605" b="15875"/>
            <wp:docPr id="1" name="Diagrama 1">
              <a:extLst xmlns:a="http://schemas.openxmlformats.org/drawingml/2006/main">
                <a:ext uri="{FF2B5EF4-FFF2-40B4-BE49-F238E27FC236}">
                  <a16:creationId xmlns:a16="http://schemas.microsoft.com/office/drawing/2014/main" id="{43CFFE98-6A5D-4D47-82F3-FB9658E955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7E7172" w14:textId="10FCB3F4" w:rsidR="00120879" w:rsidRPr="0055141B" w:rsidRDefault="0055141B" w:rsidP="00C128D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2 </w:t>
      </w:r>
      <w:r w:rsidR="00B91A47" w:rsidRPr="0055141B">
        <w:rPr>
          <w:rFonts w:ascii="Times New Roman" w:hAnsi="Times New Roman" w:cs="Times New Roman"/>
          <w:i/>
          <w:iCs/>
          <w:sz w:val="24"/>
          <w:szCs w:val="24"/>
        </w:rPr>
        <w:t xml:space="preserve">paveikslas. </w:t>
      </w:r>
      <w:r w:rsidR="003B6FD5" w:rsidRPr="0055141B">
        <w:rPr>
          <w:rFonts w:ascii="Times New Roman" w:hAnsi="Times New Roman" w:cs="Times New Roman"/>
          <w:i/>
          <w:iCs/>
          <w:sz w:val="24"/>
          <w:szCs w:val="24"/>
        </w:rPr>
        <w:t>2023 m. n</w:t>
      </w:r>
      <w:r w:rsidR="00B91A47" w:rsidRPr="0055141B">
        <w:rPr>
          <w:rFonts w:ascii="Times New Roman" w:hAnsi="Times New Roman" w:cs="Times New Roman"/>
          <w:i/>
          <w:iCs/>
          <w:sz w:val="24"/>
          <w:szCs w:val="24"/>
        </w:rPr>
        <w:t>ustatytos žalos PSDF biudžetui ir išvengtos žalos santykis</w:t>
      </w:r>
    </w:p>
    <w:p w14:paraId="25BC801D" w14:textId="77777777" w:rsidR="00042FF6" w:rsidRPr="00157C0B" w:rsidRDefault="00042FF6" w:rsidP="00042FF6">
      <w:pPr>
        <w:pStyle w:val="Sraopastraipa"/>
        <w:tabs>
          <w:tab w:val="left" w:pos="284"/>
        </w:tabs>
        <w:spacing w:after="0" w:line="240" w:lineRule="auto"/>
        <w:ind w:left="0"/>
        <w:jc w:val="both"/>
        <w:rPr>
          <w:rFonts w:ascii="Times New Roman" w:hAnsi="Times New Roman" w:cs="Times New Roman"/>
          <w:i/>
          <w:iCs/>
          <w:sz w:val="24"/>
          <w:szCs w:val="24"/>
        </w:rPr>
      </w:pPr>
    </w:p>
    <w:p w14:paraId="08BA98DC" w14:textId="4188B8EB" w:rsidR="00FE3472" w:rsidRPr="0089671F" w:rsidRDefault="00120879" w:rsidP="00E43383">
      <w:pPr>
        <w:pStyle w:val="Default"/>
        <w:ind w:firstLine="851"/>
        <w:jc w:val="both"/>
        <w:rPr>
          <w:b/>
          <w:lang w:eastAsia="ja-JP"/>
        </w:rPr>
      </w:pPr>
      <w:r w:rsidRPr="00157C0B">
        <w:rPr>
          <w:lang w:eastAsia="ja-JP"/>
        </w:rPr>
        <w:t xml:space="preserve">Įvertinus </w:t>
      </w:r>
      <w:r w:rsidR="004048EB">
        <w:rPr>
          <w:lang w:eastAsia="ja-JP"/>
        </w:rPr>
        <w:t>5</w:t>
      </w:r>
      <w:r w:rsidR="004048EB" w:rsidRPr="00157C0B">
        <w:rPr>
          <w:lang w:eastAsia="ja-JP"/>
        </w:rPr>
        <w:t xml:space="preserve"> </w:t>
      </w:r>
      <w:r w:rsidRPr="00157C0B">
        <w:rPr>
          <w:lang w:eastAsia="ja-JP"/>
        </w:rPr>
        <w:t xml:space="preserve">metų tendencijas, </w:t>
      </w:r>
      <w:r w:rsidR="00611761" w:rsidRPr="00157C0B">
        <w:rPr>
          <w:lang w:eastAsia="ja-JP"/>
        </w:rPr>
        <w:t xml:space="preserve">matyti, kad </w:t>
      </w:r>
      <w:r w:rsidRPr="00157C0B">
        <w:rPr>
          <w:lang w:eastAsia="ja-JP"/>
        </w:rPr>
        <w:t xml:space="preserve">akivaizdžiai didėja statistinių kortelių duomenų stebėsenos ir jų klaidų taisymo </w:t>
      </w:r>
      <w:r w:rsidR="004B0547" w:rsidRPr="00157C0B">
        <w:rPr>
          <w:lang w:eastAsia="ja-JP"/>
        </w:rPr>
        <w:t>bei</w:t>
      </w:r>
      <w:r w:rsidR="00042FF6" w:rsidRPr="00157C0B">
        <w:rPr>
          <w:lang w:eastAsia="ja-JP"/>
        </w:rPr>
        <w:t xml:space="preserve"> išankstinio dokumentų patikrinimo </w:t>
      </w:r>
      <w:r w:rsidRPr="00157C0B">
        <w:rPr>
          <w:lang w:eastAsia="ja-JP"/>
        </w:rPr>
        <w:t>įtaka žalos PSDF biudžetui prevencij</w:t>
      </w:r>
      <w:r w:rsidR="00B95A26" w:rsidRPr="00157C0B">
        <w:rPr>
          <w:lang w:eastAsia="ja-JP"/>
        </w:rPr>
        <w:t>a</w:t>
      </w:r>
      <w:r w:rsidR="00611761" w:rsidRPr="00157C0B">
        <w:rPr>
          <w:lang w:eastAsia="ja-JP"/>
        </w:rPr>
        <w:t>i</w:t>
      </w:r>
      <w:r w:rsidR="00B95A26" w:rsidRPr="00661D65">
        <w:rPr>
          <w:lang w:eastAsia="ja-JP"/>
        </w:rPr>
        <w:t>.</w:t>
      </w:r>
      <w:r w:rsidRPr="00661D65">
        <w:rPr>
          <w:lang w:eastAsia="ja-JP"/>
        </w:rPr>
        <w:t xml:space="preserve"> </w:t>
      </w:r>
      <w:r w:rsidR="004048EB">
        <w:rPr>
          <w:lang w:eastAsia="ja-JP"/>
        </w:rPr>
        <w:t xml:space="preserve">2024 m. išvengtos žalos PSDF biudžetui dydis išaugo </w:t>
      </w:r>
      <w:r w:rsidR="00B01F9F">
        <w:rPr>
          <w:lang w:eastAsia="ja-JP"/>
        </w:rPr>
        <w:t>daugiau nei</w:t>
      </w:r>
      <w:r w:rsidR="004048EB">
        <w:rPr>
          <w:lang w:eastAsia="ja-JP"/>
        </w:rPr>
        <w:t xml:space="preserve"> 2 kartus palyginus su 2023 m</w:t>
      </w:r>
      <w:r w:rsidR="00D25871">
        <w:rPr>
          <w:lang w:eastAsia="ja-JP"/>
        </w:rPr>
        <w:t xml:space="preserve">. </w:t>
      </w:r>
      <w:r w:rsidR="0089671F" w:rsidRPr="00661D65">
        <w:rPr>
          <w:lang w:eastAsia="ja-JP"/>
        </w:rPr>
        <w:t>(žr. 3 paveikslą)</w:t>
      </w:r>
      <w:r w:rsidR="0089671F">
        <w:rPr>
          <w:lang w:eastAsia="ja-JP"/>
        </w:rPr>
        <w:t xml:space="preserve">. </w:t>
      </w:r>
    </w:p>
    <w:p w14:paraId="00CB8F64" w14:textId="4C00006A" w:rsidR="004048EB" w:rsidRDefault="00D25871" w:rsidP="00D25871">
      <w:pPr>
        <w:pStyle w:val="Default"/>
        <w:jc w:val="both"/>
        <w:rPr>
          <w:lang w:eastAsia="ja-JP"/>
        </w:rPr>
      </w:pPr>
      <w:r>
        <w:rPr>
          <w:noProof/>
        </w:rPr>
        <w:lastRenderedPageBreak/>
        <w:drawing>
          <wp:inline distT="0" distB="0" distL="0" distR="0" wp14:anchorId="371CCD22" wp14:editId="16F549A3">
            <wp:extent cx="6120130" cy="2880000"/>
            <wp:effectExtent l="0" t="0" r="13970" b="15875"/>
            <wp:docPr id="824713524" name="Diagrama 1">
              <a:extLst xmlns:a="http://schemas.openxmlformats.org/drawingml/2006/main">
                <a:ext uri="{FF2B5EF4-FFF2-40B4-BE49-F238E27FC236}">
                  <a16:creationId xmlns:a16="http://schemas.microsoft.com/office/drawing/2014/main" id="{9B4A17C9-B6F8-4F2D-B789-74D3B25485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EB7BF1" w14:textId="4E048248" w:rsidR="00FE3472" w:rsidRPr="00157C0B" w:rsidRDefault="0055141B" w:rsidP="00C128D6">
      <w:pPr>
        <w:pStyle w:val="Sraopastraipa"/>
        <w:spacing w:after="0" w:line="240" w:lineRule="auto"/>
        <w:ind w:left="0"/>
        <w:rPr>
          <w:rFonts w:ascii="Times New Roman" w:hAnsi="Times New Roman" w:cs="Times New Roman"/>
          <w:i/>
          <w:iCs/>
          <w:sz w:val="24"/>
          <w:szCs w:val="24"/>
        </w:rPr>
      </w:pPr>
      <w:r>
        <w:rPr>
          <w:rFonts w:ascii="Times New Roman" w:hAnsi="Times New Roman" w:cs="Times New Roman"/>
          <w:i/>
          <w:iCs/>
          <w:sz w:val="24"/>
          <w:szCs w:val="24"/>
        </w:rPr>
        <w:t xml:space="preserve">3 </w:t>
      </w:r>
      <w:r w:rsidR="00FE3472" w:rsidRPr="00157C0B">
        <w:rPr>
          <w:rFonts w:ascii="Times New Roman" w:hAnsi="Times New Roman" w:cs="Times New Roman"/>
          <w:i/>
          <w:iCs/>
          <w:sz w:val="24"/>
          <w:szCs w:val="24"/>
        </w:rPr>
        <w:t xml:space="preserve">paveikslas. Šalies mastu nustatytos žalos PSDF biudžetui ir išvengtos žalos </w:t>
      </w:r>
      <w:r w:rsidR="00523FD7">
        <w:rPr>
          <w:rFonts w:ascii="Times New Roman" w:hAnsi="Times New Roman" w:cs="Times New Roman"/>
          <w:i/>
          <w:iCs/>
          <w:sz w:val="24"/>
          <w:szCs w:val="24"/>
        </w:rPr>
        <w:t>palyginimas</w:t>
      </w:r>
    </w:p>
    <w:p w14:paraId="75FEB8AB" w14:textId="77777777" w:rsidR="009A0C52" w:rsidRPr="00157C0B" w:rsidRDefault="009A0C52" w:rsidP="009A0C52">
      <w:pPr>
        <w:tabs>
          <w:tab w:val="left" w:pos="284"/>
        </w:tabs>
        <w:spacing w:after="0" w:line="240" w:lineRule="auto"/>
        <w:jc w:val="both"/>
        <w:rPr>
          <w:rFonts w:ascii="Times New Roman" w:hAnsi="Times New Roman" w:cs="Times New Roman"/>
          <w:sz w:val="24"/>
          <w:szCs w:val="24"/>
        </w:rPr>
      </w:pPr>
    </w:p>
    <w:p w14:paraId="47C1A61A" w14:textId="4CEF454B" w:rsidR="002E18C3" w:rsidRPr="00157C0B" w:rsidRDefault="00496E5A" w:rsidP="00E43383">
      <w:pPr>
        <w:pStyle w:val="Default"/>
        <w:ind w:firstLine="851"/>
        <w:jc w:val="both"/>
      </w:pPr>
      <w:r w:rsidRPr="00157C0B">
        <w:rPr>
          <w:lang w:eastAsia="ja-JP"/>
        </w:rPr>
        <w:t>202</w:t>
      </w:r>
      <w:r>
        <w:rPr>
          <w:lang w:eastAsia="ja-JP"/>
        </w:rPr>
        <w:t>4 </w:t>
      </w:r>
      <w:r w:rsidR="002E18C3" w:rsidRPr="00157C0B">
        <w:rPr>
          <w:lang w:eastAsia="ja-JP"/>
        </w:rPr>
        <w:t>m. TLK nustat</w:t>
      </w:r>
      <w:r w:rsidR="001F4F3B" w:rsidRPr="00157C0B">
        <w:rPr>
          <w:lang w:eastAsia="ja-JP"/>
        </w:rPr>
        <w:t>ė</w:t>
      </w:r>
      <w:r w:rsidR="002E18C3" w:rsidRPr="00157C0B">
        <w:rPr>
          <w:lang w:eastAsia="ja-JP"/>
        </w:rPr>
        <w:t xml:space="preserve"> </w:t>
      </w:r>
      <w:r>
        <w:rPr>
          <w:lang w:eastAsia="ja-JP"/>
        </w:rPr>
        <w:t xml:space="preserve">3,5 karto </w:t>
      </w:r>
      <w:r w:rsidR="00042FF6" w:rsidRPr="00157C0B">
        <w:rPr>
          <w:lang w:eastAsia="ja-JP"/>
        </w:rPr>
        <w:t>dides</w:t>
      </w:r>
      <w:r w:rsidR="001F4F3B" w:rsidRPr="00157C0B">
        <w:rPr>
          <w:lang w:eastAsia="ja-JP"/>
        </w:rPr>
        <w:t xml:space="preserve">nę </w:t>
      </w:r>
      <w:r w:rsidR="002E18C3" w:rsidRPr="00157C0B">
        <w:rPr>
          <w:lang w:eastAsia="ja-JP"/>
        </w:rPr>
        <w:t>žal</w:t>
      </w:r>
      <w:r w:rsidR="001F4F3B" w:rsidRPr="00157C0B">
        <w:rPr>
          <w:lang w:eastAsia="ja-JP"/>
        </w:rPr>
        <w:t>ą</w:t>
      </w:r>
      <w:r w:rsidR="002E18C3" w:rsidRPr="00157C0B">
        <w:rPr>
          <w:lang w:eastAsia="ja-JP"/>
        </w:rPr>
        <w:t xml:space="preserve"> PSDF </w:t>
      </w:r>
      <w:r w:rsidR="00611761" w:rsidRPr="00157C0B">
        <w:rPr>
          <w:lang w:eastAsia="ja-JP"/>
        </w:rPr>
        <w:t xml:space="preserve">biudžetui </w:t>
      </w:r>
      <w:r w:rsidR="002E18C3" w:rsidRPr="00157C0B">
        <w:rPr>
          <w:lang w:eastAsia="ja-JP"/>
        </w:rPr>
        <w:t xml:space="preserve">nei </w:t>
      </w:r>
      <w:r w:rsidR="00256BEA" w:rsidRPr="00157C0B">
        <w:rPr>
          <w:lang w:eastAsia="ja-JP"/>
        </w:rPr>
        <w:t>202</w:t>
      </w:r>
      <w:r>
        <w:rPr>
          <w:lang w:eastAsia="ja-JP"/>
        </w:rPr>
        <w:t>3</w:t>
      </w:r>
      <w:r w:rsidR="002E18C3" w:rsidRPr="00157C0B">
        <w:rPr>
          <w:lang w:eastAsia="ja-JP"/>
        </w:rPr>
        <w:t xml:space="preserve"> metais. </w:t>
      </w:r>
      <w:r w:rsidR="00BB07B2" w:rsidRPr="00157C0B">
        <w:rPr>
          <w:lang w:eastAsia="ja-JP"/>
        </w:rPr>
        <w:t>Ji</w:t>
      </w:r>
      <w:r w:rsidR="002E18C3" w:rsidRPr="00157C0B">
        <w:rPr>
          <w:lang w:eastAsia="ja-JP"/>
        </w:rPr>
        <w:t xml:space="preserve"> siekė </w:t>
      </w:r>
      <w:r w:rsidR="00F45467" w:rsidRPr="00157C0B">
        <w:rPr>
          <w:lang w:eastAsia="ja-JP"/>
        </w:rPr>
        <w:t>beveik</w:t>
      </w:r>
      <w:r w:rsidR="002E18C3" w:rsidRPr="00157C0B">
        <w:rPr>
          <w:lang w:eastAsia="ja-JP"/>
        </w:rPr>
        <w:t xml:space="preserve"> </w:t>
      </w:r>
      <w:r>
        <w:rPr>
          <w:lang w:eastAsia="ja-JP"/>
        </w:rPr>
        <w:t>2,25</w:t>
      </w:r>
      <w:r w:rsidR="00072CC6">
        <w:rPr>
          <w:lang w:eastAsia="ja-JP"/>
        </w:rPr>
        <w:t> </w:t>
      </w:r>
      <w:r>
        <w:rPr>
          <w:lang w:eastAsia="ja-JP"/>
        </w:rPr>
        <w:t>mln.</w:t>
      </w:r>
      <w:r w:rsidR="002E18C3" w:rsidRPr="00157C0B">
        <w:rPr>
          <w:lang w:eastAsia="ja-JP"/>
        </w:rPr>
        <w:t xml:space="preserve"> </w:t>
      </w:r>
      <w:r w:rsidR="004B0547" w:rsidRPr="00157C0B">
        <w:rPr>
          <w:lang w:eastAsia="ja-JP"/>
        </w:rPr>
        <w:t>Eur</w:t>
      </w:r>
      <w:r w:rsidR="002E18C3" w:rsidRPr="00157C0B">
        <w:rPr>
          <w:lang w:eastAsia="ja-JP"/>
        </w:rPr>
        <w:t xml:space="preserve">. </w:t>
      </w:r>
      <w:r w:rsidRPr="00157C0B">
        <w:t xml:space="preserve">(žr. </w:t>
      </w:r>
      <w:r w:rsidRPr="00523FD7">
        <w:t xml:space="preserve">3 </w:t>
      </w:r>
      <w:r w:rsidR="00FC4B0F" w:rsidRPr="00523FD7">
        <w:t>paveikslą</w:t>
      </w:r>
      <w:r w:rsidRPr="00157C0B">
        <w:t>).</w:t>
      </w:r>
      <w:r>
        <w:t xml:space="preserve"> </w:t>
      </w:r>
      <w:r w:rsidR="002E18C3" w:rsidRPr="00157C0B">
        <w:rPr>
          <w:lang w:eastAsia="ja-JP"/>
        </w:rPr>
        <w:t>Didžiausi</w:t>
      </w:r>
      <w:r w:rsidR="00611761" w:rsidRPr="00157C0B">
        <w:rPr>
          <w:lang w:eastAsia="ja-JP"/>
        </w:rPr>
        <w:t xml:space="preserve">ą </w:t>
      </w:r>
      <w:r w:rsidR="002E18C3" w:rsidRPr="00157C0B">
        <w:rPr>
          <w:lang w:eastAsia="ja-JP"/>
        </w:rPr>
        <w:t>žal</w:t>
      </w:r>
      <w:r w:rsidR="00611761" w:rsidRPr="00157C0B">
        <w:rPr>
          <w:lang w:eastAsia="ja-JP"/>
        </w:rPr>
        <w:t>ą</w:t>
      </w:r>
      <w:r w:rsidR="002E18C3" w:rsidRPr="00157C0B">
        <w:rPr>
          <w:lang w:eastAsia="ja-JP"/>
        </w:rPr>
        <w:t xml:space="preserve"> </w:t>
      </w:r>
      <w:r w:rsidR="00E620BE" w:rsidRPr="00157C0B">
        <w:rPr>
          <w:lang w:eastAsia="ja-JP"/>
        </w:rPr>
        <w:t xml:space="preserve">PSDF biudžetui </w:t>
      </w:r>
      <w:r w:rsidR="002E18C3" w:rsidRPr="00157C0B">
        <w:rPr>
          <w:lang w:eastAsia="ja-JP"/>
        </w:rPr>
        <w:t>nustat</w:t>
      </w:r>
      <w:r w:rsidR="00611761" w:rsidRPr="00157C0B">
        <w:rPr>
          <w:lang w:eastAsia="ja-JP"/>
        </w:rPr>
        <w:t>ė</w:t>
      </w:r>
      <w:r w:rsidR="002E18C3" w:rsidRPr="00157C0B">
        <w:rPr>
          <w:lang w:eastAsia="ja-JP"/>
        </w:rPr>
        <w:t xml:space="preserve"> </w:t>
      </w:r>
      <w:r w:rsidR="00042FF6" w:rsidRPr="00157C0B">
        <w:rPr>
          <w:lang w:eastAsia="ja-JP"/>
        </w:rPr>
        <w:t>Vilniaus</w:t>
      </w:r>
      <w:r w:rsidR="002E18C3" w:rsidRPr="00157C0B">
        <w:rPr>
          <w:lang w:eastAsia="ja-JP"/>
        </w:rPr>
        <w:t xml:space="preserve"> TLK</w:t>
      </w:r>
      <w:r w:rsidR="004B0547" w:rsidRPr="00157C0B">
        <w:rPr>
          <w:lang w:eastAsia="ja-JP"/>
        </w:rPr>
        <w:t xml:space="preserve"> (buvo nustatyta</w:t>
      </w:r>
      <w:r w:rsidR="002E18C3" w:rsidRPr="00157C0B">
        <w:rPr>
          <w:lang w:eastAsia="ja-JP"/>
        </w:rPr>
        <w:t xml:space="preserve"> daugiau nei </w:t>
      </w:r>
      <w:r>
        <w:rPr>
          <w:lang w:eastAsia="ja-JP"/>
        </w:rPr>
        <w:t>914</w:t>
      </w:r>
      <w:r w:rsidR="00A36A96">
        <w:rPr>
          <w:lang w:eastAsia="ja-JP"/>
        </w:rPr>
        <w:t> </w:t>
      </w:r>
      <w:r w:rsidR="002E18C3" w:rsidRPr="00157C0B">
        <w:rPr>
          <w:lang w:eastAsia="ja-JP"/>
        </w:rPr>
        <w:t xml:space="preserve">tūkst. </w:t>
      </w:r>
      <w:r w:rsidR="004B0547" w:rsidRPr="00157C0B">
        <w:rPr>
          <w:lang w:eastAsia="ja-JP"/>
        </w:rPr>
        <w:t>Eur žala)</w:t>
      </w:r>
      <w:r w:rsidR="002E18C3" w:rsidRPr="00157C0B">
        <w:rPr>
          <w:lang w:eastAsia="ja-JP"/>
        </w:rPr>
        <w:t>, mažiausi</w:t>
      </w:r>
      <w:r w:rsidR="00611761" w:rsidRPr="00157C0B">
        <w:rPr>
          <w:lang w:eastAsia="ja-JP"/>
        </w:rPr>
        <w:t>ą –</w:t>
      </w:r>
      <w:r w:rsidR="002E18C3" w:rsidRPr="00157C0B">
        <w:rPr>
          <w:lang w:eastAsia="ja-JP"/>
        </w:rPr>
        <w:t xml:space="preserve"> </w:t>
      </w:r>
      <w:r>
        <w:rPr>
          <w:lang w:eastAsia="ja-JP"/>
        </w:rPr>
        <w:t>Šiaulių</w:t>
      </w:r>
      <w:r w:rsidRPr="00157C0B">
        <w:rPr>
          <w:lang w:eastAsia="ja-JP"/>
        </w:rPr>
        <w:t xml:space="preserve"> </w:t>
      </w:r>
      <w:r w:rsidR="002E18C3" w:rsidRPr="00157C0B">
        <w:rPr>
          <w:lang w:eastAsia="ja-JP"/>
        </w:rPr>
        <w:t>TLK</w:t>
      </w:r>
      <w:r w:rsidR="004B0547" w:rsidRPr="00157C0B">
        <w:rPr>
          <w:lang w:eastAsia="ja-JP"/>
        </w:rPr>
        <w:t xml:space="preserve"> (buvo nustatyta </w:t>
      </w:r>
      <w:r w:rsidR="00042FF6" w:rsidRPr="00157C0B">
        <w:rPr>
          <w:lang w:eastAsia="ja-JP"/>
        </w:rPr>
        <w:t xml:space="preserve">daugiau nei </w:t>
      </w:r>
      <w:r>
        <w:rPr>
          <w:lang w:eastAsia="ja-JP"/>
        </w:rPr>
        <w:t>71</w:t>
      </w:r>
      <w:r w:rsidR="00A36A96">
        <w:rPr>
          <w:lang w:eastAsia="ja-JP"/>
        </w:rPr>
        <w:t> </w:t>
      </w:r>
      <w:r w:rsidR="002E18C3" w:rsidRPr="00157C0B">
        <w:rPr>
          <w:lang w:eastAsia="ja-JP"/>
        </w:rPr>
        <w:t xml:space="preserve">tūkst. </w:t>
      </w:r>
      <w:r w:rsidR="004B0547" w:rsidRPr="00157C0B">
        <w:rPr>
          <w:lang w:eastAsia="ja-JP"/>
        </w:rPr>
        <w:t>Eur žala)</w:t>
      </w:r>
      <w:r w:rsidR="00D25AC5">
        <w:t xml:space="preserve">. </w:t>
      </w:r>
    </w:p>
    <w:p w14:paraId="1F879312" w14:textId="3057433F" w:rsidR="000F1113" w:rsidRDefault="002E18C3" w:rsidP="00FC4B0F">
      <w:pPr>
        <w:pStyle w:val="Default"/>
        <w:ind w:firstLine="851"/>
        <w:jc w:val="both"/>
        <w:rPr>
          <w:lang w:eastAsia="ja-JP"/>
        </w:rPr>
      </w:pPr>
      <w:r w:rsidRPr="00157C0B">
        <w:rPr>
          <w:lang w:eastAsia="ja-JP"/>
        </w:rPr>
        <w:t>Buvo išnagrinėti neatitikčių duomenys pagal Apraš</w:t>
      </w:r>
      <w:r w:rsidR="00611761" w:rsidRPr="00157C0B">
        <w:rPr>
          <w:lang w:eastAsia="ja-JP"/>
        </w:rPr>
        <w:t>e pateikiamą</w:t>
      </w:r>
      <w:r w:rsidRPr="00157C0B">
        <w:rPr>
          <w:lang w:eastAsia="ja-JP"/>
        </w:rPr>
        <w:t xml:space="preserve"> kontrolės krypčių sąrašą. </w:t>
      </w:r>
      <w:r w:rsidR="00E620BE">
        <w:t>Atliekant kontrolės procedūras</w:t>
      </w:r>
      <w:r w:rsidR="00E620BE" w:rsidRPr="00157C0B">
        <w:t xml:space="preserve"> </w:t>
      </w:r>
      <w:r w:rsidR="008A2E9E">
        <w:rPr>
          <w:lang w:eastAsia="ja-JP"/>
        </w:rPr>
        <w:t xml:space="preserve">2024 metais didžiausia </w:t>
      </w:r>
      <w:r w:rsidR="008A2E9E" w:rsidRPr="008A2E9E">
        <w:rPr>
          <w:lang w:eastAsia="ja-JP"/>
        </w:rPr>
        <w:t>žala PSDF</w:t>
      </w:r>
      <w:r w:rsidR="008A2E9E">
        <w:rPr>
          <w:lang w:eastAsia="ja-JP"/>
        </w:rPr>
        <w:t xml:space="preserve"> biudžetui buvo nustatyta k</w:t>
      </w:r>
      <w:r w:rsidR="008A2E9E" w:rsidRPr="008A2E9E">
        <w:rPr>
          <w:lang w:eastAsia="ja-JP"/>
        </w:rPr>
        <w:t>ompensuojamųjų vaistų ir medicinos pagalbos priemonių skyrimo ir išrašymo pagrįstumo kontrol</w:t>
      </w:r>
      <w:r w:rsidR="00E620BE">
        <w:rPr>
          <w:lang w:eastAsia="ja-JP"/>
        </w:rPr>
        <w:t>ės metu</w:t>
      </w:r>
      <w:r w:rsidR="007875BD">
        <w:rPr>
          <w:lang w:eastAsia="ja-JP"/>
        </w:rPr>
        <w:t xml:space="preserve"> </w:t>
      </w:r>
      <w:r w:rsidR="007875BD" w:rsidRPr="00661D65">
        <w:rPr>
          <w:lang w:eastAsia="ja-JP"/>
        </w:rPr>
        <w:t xml:space="preserve">(buvo nustatyta </w:t>
      </w:r>
      <w:r w:rsidR="007875BD" w:rsidRPr="007875BD">
        <w:rPr>
          <w:lang w:eastAsia="ja-JP"/>
        </w:rPr>
        <w:t>531,1</w:t>
      </w:r>
      <w:r w:rsidR="007875BD">
        <w:rPr>
          <w:lang w:eastAsia="ja-JP"/>
        </w:rPr>
        <w:t>8</w:t>
      </w:r>
      <w:r w:rsidR="007875BD" w:rsidRPr="00661D65">
        <w:rPr>
          <w:lang w:eastAsia="ja-JP"/>
        </w:rPr>
        <w:t> tūkst. Eur žala)</w:t>
      </w:r>
      <w:r w:rsidR="008A2E9E" w:rsidRPr="00661D65">
        <w:rPr>
          <w:lang w:eastAsia="ja-JP"/>
        </w:rPr>
        <w:t>,</w:t>
      </w:r>
      <w:r w:rsidR="008A2E9E">
        <w:rPr>
          <w:lang w:eastAsia="ja-JP"/>
        </w:rPr>
        <w:t xml:space="preserve"> antroje vietoje – d</w:t>
      </w:r>
      <w:r w:rsidR="008A2E9E" w:rsidRPr="008A2E9E">
        <w:rPr>
          <w:lang w:eastAsia="ja-JP"/>
        </w:rPr>
        <w:t>antų protezavimo paslaugų kontrol</w:t>
      </w:r>
      <w:r w:rsidR="00E620BE">
        <w:rPr>
          <w:lang w:eastAsia="ja-JP"/>
        </w:rPr>
        <w:t>ės metu</w:t>
      </w:r>
      <w:r w:rsidR="007875BD">
        <w:rPr>
          <w:lang w:eastAsia="ja-JP"/>
        </w:rPr>
        <w:t xml:space="preserve"> </w:t>
      </w:r>
      <w:r w:rsidR="007875BD" w:rsidRPr="00661D65">
        <w:rPr>
          <w:lang w:eastAsia="ja-JP"/>
        </w:rPr>
        <w:t xml:space="preserve">(buvo nustatyta </w:t>
      </w:r>
      <w:r w:rsidR="007875BD" w:rsidRPr="007875BD">
        <w:rPr>
          <w:lang w:eastAsia="ja-JP"/>
        </w:rPr>
        <w:t>356,8</w:t>
      </w:r>
      <w:r w:rsidR="007875BD">
        <w:rPr>
          <w:lang w:eastAsia="ja-JP"/>
        </w:rPr>
        <w:t>2</w:t>
      </w:r>
      <w:r w:rsidR="007875BD" w:rsidRPr="00661D65">
        <w:rPr>
          <w:lang w:eastAsia="ja-JP"/>
        </w:rPr>
        <w:t> tūkst. Eur žala)</w:t>
      </w:r>
      <w:r w:rsidR="008A2E9E" w:rsidRPr="00661D65">
        <w:rPr>
          <w:lang w:eastAsia="ja-JP"/>
        </w:rPr>
        <w:t>,</w:t>
      </w:r>
      <w:r w:rsidR="008A2E9E">
        <w:rPr>
          <w:lang w:eastAsia="ja-JP"/>
        </w:rPr>
        <w:t xml:space="preserve"> trečioje – s</w:t>
      </w:r>
      <w:r w:rsidR="008A2E9E" w:rsidRPr="008A2E9E">
        <w:rPr>
          <w:lang w:eastAsia="ja-JP"/>
        </w:rPr>
        <w:t>laugos paslaugų kontrol</w:t>
      </w:r>
      <w:r w:rsidR="00E620BE">
        <w:rPr>
          <w:lang w:eastAsia="ja-JP"/>
        </w:rPr>
        <w:t>ės metu</w:t>
      </w:r>
      <w:r w:rsidR="008A2E9E">
        <w:rPr>
          <w:lang w:eastAsia="ja-JP"/>
        </w:rPr>
        <w:t xml:space="preserve"> </w:t>
      </w:r>
      <w:r w:rsidR="008A2E9E" w:rsidRPr="00157C0B">
        <w:rPr>
          <w:lang w:eastAsia="ja-JP"/>
        </w:rPr>
        <w:t>(</w:t>
      </w:r>
      <w:r w:rsidR="007875BD" w:rsidRPr="00661D65">
        <w:rPr>
          <w:lang w:eastAsia="ja-JP"/>
        </w:rPr>
        <w:t xml:space="preserve">buvo nustatyta </w:t>
      </w:r>
      <w:r w:rsidR="007875BD" w:rsidRPr="007875BD">
        <w:rPr>
          <w:lang w:eastAsia="ja-JP"/>
        </w:rPr>
        <w:t>201,3</w:t>
      </w:r>
      <w:r w:rsidR="007875BD">
        <w:rPr>
          <w:lang w:eastAsia="ja-JP"/>
        </w:rPr>
        <w:t>4 </w:t>
      </w:r>
      <w:r w:rsidR="007875BD" w:rsidRPr="00661D65">
        <w:rPr>
          <w:lang w:eastAsia="ja-JP"/>
        </w:rPr>
        <w:t>tūkst. Eur žala)</w:t>
      </w:r>
      <w:r w:rsidR="008A2E9E" w:rsidRPr="00661D65">
        <w:rPr>
          <w:lang w:eastAsia="ja-JP"/>
        </w:rPr>
        <w:t xml:space="preserve"> (</w:t>
      </w:r>
      <w:r w:rsidR="008A2E9E" w:rsidRPr="00157C0B">
        <w:rPr>
          <w:lang w:eastAsia="ja-JP"/>
        </w:rPr>
        <w:t xml:space="preserve">žr. </w:t>
      </w:r>
      <w:r w:rsidR="008A2E9E">
        <w:rPr>
          <w:lang w:eastAsia="ja-JP"/>
        </w:rPr>
        <w:t>4</w:t>
      </w:r>
      <w:r w:rsidR="008A2E9E" w:rsidRPr="00157C0B">
        <w:rPr>
          <w:lang w:eastAsia="ja-JP"/>
        </w:rPr>
        <w:t xml:space="preserve"> paveikslą</w:t>
      </w:r>
      <w:r w:rsidR="009408FA">
        <w:rPr>
          <w:lang w:eastAsia="ja-JP"/>
        </w:rPr>
        <w:t xml:space="preserve"> ir 4 lentelę</w:t>
      </w:r>
      <w:r w:rsidR="008A2E9E" w:rsidRPr="00157C0B">
        <w:rPr>
          <w:lang w:eastAsia="ja-JP"/>
        </w:rPr>
        <w:t>).</w:t>
      </w:r>
    </w:p>
    <w:p w14:paraId="1FDD71ED" w14:textId="77777777" w:rsidR="006C454C" w:rsidRDefault="006C454C" w:rsidP="00FC4B0F">
      <w:pPr>
        <w:pStyle w:val="Default"/>
        <w:ind w:firstLine="851"/>
        <w:jc w:val="both"/>
        <w:rPr>
          <w:lang w:eastAsia="ja-JP"/>
        </w:rPr>
      </w:pPr>
    </w:p>
    <w:p w14:paraId="74DE0809" w14:textId="412210EB" w:rsidR="00A36A96" w:rsidRDefault="006C454C" w:rsidP="00177D2C">
      <w:pPr>
        <w:pStyle w:val="Default"/>
        <w:jc w:val="both"/>
        <w:rPr>
          <w:lang w:eastAsia="ja-JP"/>
        </w:rPr>
      </w:pPr>
      <w:r>
        <w:rPr>
          <w:noProof/>
        </w:rPr>
        <w:drawing>
          <wp:inline distT="0" distB="0" distL="0" distR="0" wp14:anchorId="52EFEA93" wp14:editId="76B412FA">
            <wp:extent cx="6120130" cy="3960000"/>
            <wp:effectExtent l="0" t="0" r="13970" b="2540"/>
            <wp:docPr id="1142934512" name="Diagrama 1">
              <a:extLst xmlns:a="http://schemas.openxmlformats.org/drawingml/2006/main">
                <a:ext uri="{FF2B5EF4-FFF2-40B4-BE49-F238E27FC236}">
                  <a16:creationId xmlns:a16="http://schemas.microsoft.com/office/drawing/2014/main" id="{22045CE4-4D9A-1DB9-5C7E-FAAB0BB4DB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F2C386" w14:textId="49904E6A" w:rsidR="00177D2C" w:rsidRPr="00157C0B" w:rsidRDefault="00A36A96" w:rsidP="00C128D6">
      <w:pPr>
        <w:pStyle w:val="Sraopastraipa"/>
        <w:spacing w:after="0" w:line="240" w:lineRule="auto"/>
        <w:ind w:left="0"/>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4 </w:t>
      </w:r>
      <w:r w:rsidR="00177D2C" w:rsidRPr="00157C0B">
        <w:rPr>
          <w:rFonts w:ascii="Times New Roman" w:hAnsi="Times New Roman" w:cs="Times New Roman"/>
          <w:i/>
          <w:iCs/>
          <w:sz w:val="24"/>
          <w:szCs w:val="24"/>
        </w:rPr>
        <w:t xml:space="preserve">paveikslas. </w:t>
      </w:r>
      <w:r w:rsidR="009067F2" w:rsidRPr="009067F2">
        <w:rPr>
          <w:rFonts w:ascii="Times New Roman" w:hAnsi="Times New Roman" w:cs="Times New Roman"/>
          <w:i/>
          <w:iCs/>
          <w:sz w:val="24"/>
          <w:szCs w:val="24"/>
        </w:rPr>
        <w:t>202</w:t>
      </w:r>
      <w:r w:rsidR="009067F2">
        <w:rPr>
          <w:rFonts w:ascii="Times New Roman" w:hAnsi="Times New Roman" w:cs="Times New Roman"/>
          <w:i/>
          <w:iCs/>
          <w:sz w:val="24"/>
          <w:szCs w:val="24"/>
        </w:rPr>
        <w:t>4 </w:t>
      </w:r>
      <w:r w:rsidR="009067F2" w:rsidRPr="009067F2">
        <w:rPr>
          <w:rFonts w:ascii="Times New Roman" w:hAnsi="Times New Roman" w:cs="Times New Roman"/>
          <w:i/>
          <w:iCs/>
          <w:sz w:val="24"/>
          <w:szCs w:val="24"/>
        </w:rPr>
        <w:t xml:space="preserve">m. nustatytos žalos PSDF biudžetui </w:t>
      </w:r>
      <w:r w:rsidR="00523FD7" w:rsidRPr="006C454C">
        <w:rPr>
          <w:rFonts w:ascii="Times New Roman" w:hAnsi="Times New Roman" w:cs="Times New Roman"/>
          <w:i/>
          <w:iCs/>
          <w:sz w:val="24"/>
          <w:szCs w:val="24"/>
        </w:rPr>
        <w:t>dydis</w:t>
      </w:r>
      <w:r w:rsidR="009067F2" w:rsidRPr="006C454C">
        <w:rPr>
          <w:rFonts w:ascii="Times New Roman" w:hAnsi="Times New Roman" w:cs="Times New Roman"/>
          <w:i/>
          <w:sz w:val="24"/>
          <w:szCs w:val="24"/>
        </w:rPr>
        <w:t xml:space="preserve"> paga</w:t>
      </w:r>
      <w:r w:rsidR="009067F2">
        <w:rPr>
          <w:rFonts w:ascii="Times New Roman" w:hAnsi="Times New Roman" w:cs="Times New Roman"/>
          <w:i/>
          <w:iCs/>
          <w:sz w:val="24"/>
          <w:szCs w:val="24"/>
        </w:rPr>
        <w:t>l k</w:t>
      </w:r>
      <w:r w:rsidR="00177D2C">
        <w:rPr>
          <w:rFonts w:ascii="Times New Roman" w:hAnsi="Times New Roman" w:cs="Times New Roman"/>
          <w:i/>
          <w:iCs/>
          <w:sz w:val="24"/>
          <w:szCs w:val="24"/>
        </w:rPr>
        <w:t>ontrolės krypt</w:t>
      </w:r>
      <w:r w:rsidR="00AC126F">
        <w:rPr>
          <w:rFonts w:ascii="Times New Roman" w:hAnsi="Times New Roman" w:cs="Times New Roman"/>
          <w:i/>
          <w:iCs/>
          <w:sz w:val="24"/>
          <w:szCs w:val="24"/>
        </w:rPr>
        <w:t>i</w:t>
      </w:r>
      <w:r w:rsidR="00177D2C">
        <w:rPr>
          <w:rFonts w:ascii="Times New Roman" w:hAnsi="Times New Roman" w:cs="Times New Roman"/>
          <w:i/>
          <w:iCs/>
          <w:sz w:val="24"/>
          <w:szCs w:val="24"/>
        </w:rPr>
        <w:t>s</w:t>
      </w:r>
      <w:r w:rsidR="009067F2">
        <w:rPr>
          <w:rFonts w:ascii="Times New Roman" w:hAnsi="Times New Roman" w:cs="Times New Roman"/>
          <w:i/>
          <w:iCs/>
          <w:sz w:val="24"/>
          <w:szCs w:val="24"/>
        </w:rPr>
        <w:t xml:space="preserve"> </w:t>
      </w:r>
      <w:r w:rsidR="00177D2C">
        <w:rPr>
          <w:rFonts w:ascii="Times New Roman" w:hAnsi="Times New Roman" w:cs="Times New Roman"/>
          <w:i/>
          <w:iCs/>
          <w:sz w:val="24"/>
          <w:szCs w:val="24"/>
        </w:rPr>
        <w:t>(proc.)</w:t>
      </w:r>
    </w:p>
    <w:p w14:paraId="71CEDD68" w14:textId="77777777" w:rsidR="00177D2C" w:rsidRDefault="00177D2C" w:rsidP="00177D2C">
      <w:pPr>
        <w:pStyle w:val="Default"/>
        <w:jc w:val="both"/>
        <w:rPr>
          <w:lang w:eastAsia="ja-JP"/>
        </w:rPr>
      </w:pPr>
    </w:p>
    <w:p w14:paraId="79A0CC5D" w14:textId="63B913D4" w:rsidR="0016747B" w:rsidRDefault="0016747B" w:rsidP="0016747B">
      <w:pPr>
        <w:pStyle w:val="Default"/>
        <w:ind w:firstLine="720"/>
        <w:jc w:val="both"/>
        <w:rPr>
          <w:color w:val="auto"/>
          <w:lang w:eastAsia="ja-JP"/>
        </w:rPr>
      </w:pPr>
      <w:r w:rsidRPr="00490B41">
        <w:rPr>
          <w:color w:val="auto"/>
          <w:lang w:eastAsia="ja-JP"/>
        </w:rPr>
        <w:t>Taip pat buvo išnagrinėti šalies mastu TLK vykd</w:t>
      </w:r>
      <w:r w:rsidR="005B02DF">
        <w:rPr>
          <w:color w:val="auto"/>
          <w:lang w:eastAsia="ja-JP"/>
        </w:rPr>
        <w:t>ytų</w:t>
      </w:r>
      <w:r w:rsidRPr="00490B41">
        <w:rPr>
          <w:color w:val="auto"/>
          <w:lang w:eastAsia="ja-JP"/>
        </w:rPr>
        <w:t xml:space="preserve"> </w:t>
      </w:r>
      <w:r w:rsidRPr="00661D65">
        <w:rPr>
          <w:color w:val="auto"/>
          <w:lang w:eastAsia="ja-JP"/>
        </w:rPr>
        <w:t>SNV</w:t>
      </w:r>
      <w:r>
        <w:rPr>
          <w:color w:val="auto"/>
          <w:lang w:eastAsia="ja-JP"/>
        </w:rPr>
        <w:t xml:space="preserve"> </w:t>
      </w:r>
      <w:r w:rsidRPr="00490B41">
        <w:rPr>
          <w:color w:val="auto"/>
          <w:lang w:eastAsia="ja-JP"/>
        </w:rPr>
        <w:t>procedūr</w:t>
      </w:r>
      <w:r w:rsidR="005B02DF">
        <w:rPr>
          <w:color w:val="auto"/>
          <w:lang w:eastAsia="ja-JP"/>
        </w:rPr>
        <w:t>ų</w:t>
      </w:r>
      <w:r w:rsidRPr="00490B41">
        <w:rPr>
          <w:color w:val="auto"/>
          <w:lang w:eastAsia="ja-JP"/>
        </w:rPr>
        <w:t xml:space="preserve"> duomenys pagal Apraše pateikiamą kontrolės krypčių sąrašą. </w:t>
      </w:r>
      <w:r w:rsidR="00C52E68">
        <w:rPr>
          <w:color w:val="auto"/>
          <w:lang w:eastAsia="ja-JP"/>
        </w:rPr>
        <w:t xml:space="preserve">Atliekant SNV procedūras </w:t>
      </w:r>
      <w:r w:rsidRPr="00490B41">
        <w:rPr>
          <w:color w:val="auto"/>
          <w:lang w:eastAsia="ja-JP"/>
        </w:rPr>
        <w:t>2024 metais didžiausia žala PSDF biudžetui buvo nustatyta atliekant kompensuojamųjų stacionarinio gydymo paslaugų kontrolę</w:t>
      </w:r>
      <w:r w:rsidR="006F3316">
        <w:rPr>
          <w:color w:val="auto"/>
          <w:lang w:eastAsia="ja-JP"/>
        </w:rPr>
        <w:t xml:space="preserve"> </w:t>
      </w:r>
      <w:r w:rsidR="006F3316" w:rsidRPr="00661D65">
        <w:rPr>
          <w:lang w:eastAsia="ja-JP"/>
        </w:rPr>
        <w:t xml:space="preserve">(buvo nustatyta </w:t>
      </w:r>
      <w:r w:rsidR="006F3316">
        <w:rPr>
          <w:lang w:eastAsia="ja-JP"/>
        </w:rPr>
        <w:t>231,72</w:t>
      </w:r>
      <w:r w:rsidR="006F3316" w:rsidRPr="00661D65">
        <w:rPr>
          <w:lang w:eastAsia="ja-JP"/>
        </w:rPr>
        <w:t> tūkst. Eur žala)</w:t>
      </w:r>
      <w:r w:rsidRPr="00661D65">
        <w:rPr>
          <w:color w:val="auto"/>
          <w:lang w:eastAsia="ja-JP"/>
        </w:rPr>
        <w:t>,</w:t>
      </w:r>
      <w:r w:rsidRPr="00490B41">
        <w:rPr>
          <w:color w:val="auto"/>
          <w:lang w:eastAsia="ja-JP"/>
        </w:rPr>
        <w:t xml:space="preserve"> antroje vietoje – kompensuojamųjų slaugos paslaugų kontrolę</w:t>
      </w:r>
      <w:r w:rsidR="006F3316">
        <w:rPr>
          <w:color w:val="auto"/>
          <w:lang w:eastAsia="ja-JP"/>
        </w:rPr>
        <w:t xml:space="preserve"> </w:t>
      </w:r>
      <w:r w:rsidR="006F3316" w:rsidRPr="00661D65">
        <w:rPr>
          <w:lang w:eastAsia="ja-JP"/>
        </w:rPr>
        <w:t xml:space="preserve">(buvo nustatyta </w:t>
      </w:r>
      <w:r w:rsidR="006F3316">
        <w:rPr>
          <w:lang w:eastAsia="ja-JP"/>
        </w:rPr>
        <w:t>187,99</w:t>
      </w:r>
      <w:r w:rsidR="006F3316" w:rsidRPr="00661D65">
        <w:rPr>
          <w:lang w:eastAsia="ja-JP"/>
        </w:rPr>
        <w:t> tūkst. Eur žala)</w:t>
      </w:r>
      <w:r w:rsidRPr="00661D65">
        <w:rPr>
          <w:color w:val="auto"/>
          <w:lang w:eastAsia="ja-JP"/>
        </w:rPr>
        <w:t>,</w:t>
      </w:r>
      <w:r w:rsidRPr="00490B41">
        <w:rPr>
          <w:color w:val="auto"/>
          <w:lang w:eastAsia="ja-JP"/>
        </w:rPr>
        <w:t xml:space="preserve"> trečioje – kompensuojamųjų specializuotų ambulatorinių paslaugų kontrolę </w:t>
      </w:r>
      <w:r w:rsidRPr="00661D65">
        <w:rPr>
          <w:lang w:eastAsia="ja-JP"/>
        </w:rPr>
        <w:t>(</w:t>
      </w:r>
      <w:r w:rsidR="006F3316" w:rsidRPr="00661D65">
        <w:rPr>
          <w:lang w:eastAsia="ja-JP"/>
        </w:rPr>
        <w:t xml:space="preserve">buvo nustatyta </w:t>
      </w:r>
      <w:r w:rsidR="006F3316">
        <w:rPr>
          <w:lang w:eastAsia="ja-JP"/>
        </w:rPr>
        <w:t>92,42</w:t>
      </w:r>
      <w:r w:rsidR="006F3316" w:rsidRPr="00661D65">
        <w:rPr>
          <w:lang w:eastAsia="ja-JP"/>
        </w:rPr>
        <w:t> tūkst. Eur žala)</w:t>
      </w:r>
      <w:r w:rsidR="006F3316" w:rsidRPr="00661D65">
        <w:rPr>
          <w:color w:val="auto"/>
          <w:lang w:eastAsia="ja-JP"/>
        </w:rPr>
        <w:t xml:space="preserve"> </w:t>
      </w:r>
      <w:r w:rsidRPr="00661D65">
        <w:rPr>
          <w:color w:val="auto"/>
          <w:lang w:eastAsia="ja-JP"/>
        </w:rPr>
        <w:t>(žr.</w:t>
      </w:r>
      <w:r w:rsidRPr="00490B41">
        <w:rPr>
          <w:color w:val="auto"/>
          <w:lang w:eastAsia="ja-JP"/>
        </w:rPr>
        <w:t xml:space="preserve"> </w:t>
      </w:r>
      <w:r w:rsidRPr="00A36A96">
        <w:rPr>
          <w:color w:val="auto"/>
          <w:lang w:eastAsia="ja-JP"/>
        </w:rPr>
        <w:t>5</w:t>
      </w:r>
      <w:r w:rsidRPr="00490B41">
        <w:rPr>
          <w:color w:val="auto"/>
          <w:lang w:eastAsia="ja-JP"/>
        </w:rPr>
        <w:t xml:space="preserve"> paveikslą</w:t>
      </w:r>
      <w:r w:rsidR="009408FA">
        <w:rPr>
          <w:color w:val="auto"/>
          <w:lang w:eastAsia="ja-JP"/>
        </w:rPr>
        <w:t xml:space="preserve"> ir 4 lentelę</w:t>
      </w:r>
      <w:r w:rsidRPr="00661D65">
        <w:rPr>
          <w:color w:val="auto"/>
          <w:lang w:eastAsia="ja-JP"/>
        </w:rPr>
        <w:t>).</w:t>
      </w:r>
    </w:p>
    <w:p w14:paraId="2F1D8A85" w14:textId="77777777" w:rsidR="005D504F" w:rsidRPr="00490B41" w:rsidRDefault="005D504F" w:rsidP="0016747B">
      <w:pPr>
        <w:pStyle w:val="Default"/>
        <w:ind w:firstLine="720"/>
        <w:jc w:val="both"/>
        <w:rPr>
          <w:color w:val="auto"/>
          <w:lang w:eastAsia="ja-JP"/>
        </w:rPr>
      </w:pPr>
    </w:p>
    <w:p w14:paraId="6081BDE0" w14:textId="6C999735" w:rsidR="0016747B" w:rsidRDefault="0016747B" w:rsidP="00490B41">
      <w:pPr>
        <w:pStyle w:val="Default"/>
        <w:jc w:val="both"/>
        <w:rPr>
          <w:lang w:eastAsia="ja-JP"/>
        </w:rPr>
      </w:pPr>
      <w:r>
        <w:rPr>
          <w:noProof/>
        </w:rPr>
        <w:drawing>
          <wp:inline distT="0" distB="0" distL="0" distR="0" wp14:anchorId="5B4AAC76" wp14:editId="53E2D5C0">
            <wp:extent cx="6120130" cy="3960000"/>
            <wp:effectExtent l="0" t="0" r="13970" b="2540"/>
            <wp:docPr id="1348495813" name="Diagrama 1">
              <a:extLst xmlns:a="http://schemas.openxmlformats.org/drawingml/2006/main">
                <a:ext uri="{FF2B5EF4-FFF2-40B4-BE49-F238E27FC236}">
                  <a16:creationId xmlns:a16="http://schemas.microsoft.com/office/drawing/2014/main" id="{10C87063-558C-8F85-D68E-0C519BFECB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9A41F8" w14:textId="401D09E1" w:rsidR="0016747B" w:rsidRPr="00490B41" w:rsidRDefault="00A36A96" w:rsidP="00C128D6">
      <w:pPr>
        <w:pStyle w:val="Default"/>
        <w:rPr>
          <w:i/>
          <w:iCs/>
          <w:lang w:eastAsia="ja-JP"/>
        </w:rPr>
      </w:pPr>
      <w:r>
        <w:rPr>
          <w:i/>
          <w:iCs/>
        </w:rPr>
        <w:t xml:space="preserve">5 </w:t>
      </w:r>
      <w:r w:rsidRPr="00157C0B">
        <w:rPr>
          <w:i/>
          <w:iCs/>
        </w:rPr>
        <w:t>paveikslas</w:t>
      </w:r>
      <w:r w:rsidR="00341868">
        <w:rPr>
          <w:i/>
          <w:iCs/>
        </w:rPr>
        <w:t>.</w:t>
      </w:r>
      <w:r w:rsidRPr="00490B41">
        <w:rPr>
          <w:i/>
          <w:iCs/>
          <w:lang w:eastAsia="ja-JP"/>
        </w:rPr>
        <w:t xml:space="preserve"> </w:t>
      </w:r>
      <w:r w:rsidR="0016747B" w:rsidRPr="00490B41">
        <w:rPr>
          <w:i/>
          <w:iCs/>
          <w:lang w:eastAsia="ja-JP"/>
        </w:rPr>
        <w:t xml:space="preserve">2024 m. nustatytos žalos PSDF biudžetui </w:t>
      </w:r>
      <w:r w:rsidR="00B53BA9" w:rsidRPr="00B53BA9">
        <w:rPr>
          <w:i/>
          <w:iCs/>
          <w:lang w:eastAsia="ja-JP"/>
        </w:rPr>
        <w:t>dydis</w:t>
      </w:r>
      <w:r w:rsidR="0016747B" w:rsidRPr="00B53BA9">
        <w:rPr>
          <w:i/>
          <w:lang w:eastAsia="ja-JP"/>
        </w:rPr>
        <w:t xml:space="preserve"> pagal</w:t>
      </w:r>
      <w:r w:rsidR="0016747B" w:rsidRPr="00490B41">
        <w:rPr>
          <w:i/>
          <w:iCs/>
          <w:lang w:eastAsia="ja-JP"/>
        </w:rPr>
        <w:t xml:space="preserve"> SNV procedūrų kryptis (proc.)</w:t>
      </w:r>
    </w:p>
    <w:p w14:paraId="4A4A4DA5" w14:textId="77777777" w:rsidR="0016747B" w:rsidRDefault="0016747B" w:rsidP="008A2E9E">
      <w:pPr>
        <w:pStyle w:val="Default"/>
        <w:ind w:firstLine="720"/>
        <w:jc w:val="both"/>
        <w:rPr>
          <w:lang w:eastAsia="ja-JP"/>
        </w:rPr>
      </w:pPr>
    </w:p>
    <w:p w14:paraId="44365F9F" w14:textId="72ECBC8A" w:rsidR="00542207" w:rsidRDefault="008A2E9E" w:rsidP="00E620BE">
      <w:pPr>
        <w:pStyle w:val="Default"/>
        <w:ind w:firstLine="851"/>
        <w:jc w:val="both"/>
      </w:pPr>
      <w:r w:rsidRPr="00157C0B">
        <w:rPr>
          <w:lang w:eastAsia="ja-JP"/>
        </w:rPr>
        <w:t>Palyginti su 202</w:t>
      </w:r>
      <w:r>
        <w:rPr>
          <w:lang w:eastAsia="ja-JP"/>
        </w:rPr>
        <w:t>3</w:t>
      </w:r>
      <w:r w:rsidR="0016747B">
        <w:t> </w:t>
      </w:r>
      <w:r w:rsidRPr="00157C0B">
        <w:t xml:space="preserve">m., gerokai didesnė žala </w:t>
      </w:r>
      <w:r w:rsidR="00F858F6">
        <w:t xml:space="preserve">kontrolės </w:t>
      </w:r>
      <w:r w:rsidR="00F858F6" w:rsidRPr="00661D65">
        <w:t>procedūr</w:t>
      </w:r>
      <w:r w:rsidR="00750490">
        <w:t>ų metu</w:t>
      </w:r>
      <w:r w:rsidRPr="00157C0B">
        <w:t xml:space="preserve"> 202</w:t>
      </w:r>
      <w:r>
        <w:t>4</w:t>
      </w:r>
      <w:r w:rsidR="005E1982">
        <w:t> </w:t>
      </w:r>
      <w:r w:rsidRPr="00157C0B">
        <w:t>m. buvo nustatyta atliekant</w:t>
      </w:r>
      <w:r>
        <w:t xml:space="preserve"> </w:t>
      </w:r>
      <w:r w:rsidR="005E1982">
        <w:t>k</w:t>
      </w:r>
      <w:r w:rsidRPr="008A2E9E">
        <w:t>ompensuojamųjų pirminės ambulatorinės asmens sveikatos priežiūros paslaugų kontrol</w:t>
      </w:r>
      <w:r>
        <w:t xml:space="preserve">ę (nuo </w:t>
      </w:r>
      <w:r w:rsidRPr="008A2E9E">
        <w:t>9,5</w:t>
      </w:r>
      <w:r w:rsidR="00A36A96">
        <w:t> </w:t>
      </w:r>
      <w:r w:rsidRPr="008A2E9E">
        <w:t>tūkst. Eur padidėjo iki</w:t>
      </w:r>
      <w:r>
        <w:t xml:space="preserve"> </w:t>
      </w:r>
      <w:r w:rsidRPr="008A2E9E">
        <w:t>95,82</w:t>
      </w:r>
      <w:r w:rsidR="00A36A96">
        <w:t> </w:t>
      </w:r>
      <w:r w:rsidRPr="008A2E9E">
        <w:t>tūkst. Eur</w:t>
      </w:r>
      <w:r>
        <w:t>), d</w:t>
      </w:r>
      <w:r w:rsidRPr="008A2E9E">
        <w:t>ienos chirurgijos, ambulatorinės chirurgijos, dienos stacionaro, stebėjimo ir skubiosios pagalbos paslaugų kontrol</w:t>
      </w:r>
      <w:r>
        <w:t xml:space="preserve">ę (nuo </w:t>
      </w:r>
      <w:r w:rsidRPr="008A2E9E">
        <w:t>21,3</w:t>
      </w:r>
      <w:r w:rsidR="00A36A96">
        <w:t> </w:t>
      </w:r>
      <w:r w:rsidRPr="008A2E9E">
        <w:t>tūkst. Eur padidėjo iki</w:t>
      </w:r>
      <w:r>
        <w:t xml:space="preserve"> </w:t>
      </w:r>
      <w:r w:rsidRPr="008A2E9E">
        <w:t>106,79</w:t>
      </w:r>
      <w:r w:rsidR="00A36A96">
        <w:t> </w:t>
      </w:r>
      <w:r w:rsidRPr="008A2E9E">
        <w:t>tūkst. Eur</w:t>
      </w:r>
      <w:r>
        <w:t>)</w:t>
      </w:r>
      <w:r w:rsidR="00E16D06">
        <w:t xml:space="preserve"> </w:t>
      </w:r>
      <w:r w:rsidR="00E16D06" w:rsidRPr="00157C0B">
        <w:t>(žr. 4 lentelę).</w:t>
      </w:r>
      <w:r w:rsidR="00E16D06">
        <w:t xml:space="preserve"> </w:t>
      </w:r>
    </w:p>
    <w:p w14:paraId="369687FD" w14:textId="2AA7BF40" w:rsidR="00E620BE" w:rsidRPr="00661D65" w:rsidRDefault="00E620BE" w:rsidP="00E620BE">
      <w:pPr>
        <w:pStyle w:val="Default"/>
        <w:ind w:firstLine="851"/>
        <w:jc w:val="both"/>
        <w:rPr>
          <w:color w:val="auto"/>
          <w:lang w:eastAsia="ja-JP"/>
        </w:rPr>
      </w:pPr>
      <w:r w:rsidRPr="00A73FCE">
        <w:rPr>
          <w:color w:val="auto"/>
        </w:rPr>
        <w:t>Susumavus 2024 m. vykdytų kontrolės procedūrų ir SNV</w:t>
      </w:r>
      <w:r w:rsidR="006731EC" w:rsidRPr="00A73FCE">
        <w:rPr>
          <w:color w:val="auto"/>
        </w:rPr>
        <w:t xml:space="preserve"> procedūrų</w:t>
      </w:r>
      <w:r w:rsidRPr="00A73FCE">
        <w:rPr>
          <w:color w:val="auto"/>
        </w:rPr>
        <w:t xml:space="preserve"> </w:t>
      </w:r>
      <w:r w:rsidR="006731EC" w:rsidRPr="00A73FCE">
        <w:rPr>
          <w:color w:val="auto"/>
        </w:rPr>
        <w:t xml:space="preserve">metu nustatytą žalą </w:t>
      </w:r>
      <w:r w:rsidRPr="00A73FCE">
        <w:rPr>
          <w:color w:val="auto"/>
        </w:rPr>
        <w:t xml:space="preserve">PSDF biudžetui, </w:t>
      </w:r>
      <w:r w:rsidR="006731EC" w:rsidRPr="00A73FCE">
        <w:rPr>
          <w:color w:val="auto"/>
        </w:rPr>
        <w:t>matyti</w:t>
      </w:r>
      <w:r w:rsidRPr="00A73FCE">
        <w:rPr>
          <w:color w:val="auto"/>
        </w:rPr>
        <w:t xml:space="preserve">, </w:t>
      </w:r>
      <w:r w:rsidR="006731EC" w:rsidRPr="00A73FCE">
        <w:rPr>
          <w:color w:val="auto"/>
        </w:rPr>
        <w:t xml:space="preserve">kad </w:t>
      </w:r>
      <w:r w:rsidRPr="00A73FCE">
        <w:rPr>
          <w:color w:val="auto"/>
        </w:rPr>
        <w:t xml:space="preserve">didžiausia žala PSDF biudžetui buvo nustatyta atliekant </w:t>
      </w:r>
      <w:r w:rsidR="003557CA" w:rsidRPr="00A73FCE">
        <w:rPr>
          <w:color w:val="auto"/>
        </w:rPr>
        <w:t xml:space="preserve">kompensuojamųjų vaistų ir medicinos pagalbos priemonių skyrimo ir išrašymo pagrįstumo kontrolę </w:t>
      </w:r>
      <w:r w:rsidR="003557CA" w:rsidRPr="00A73FCE">
        <w:rPr>
          <w:color w:val="auto"/>
          <w:lang w:eastAsia="ja-JP"/>
        </w:rPr>
        <w:t>(bendras žalos dydis – 531,19 tūkst. Eur), antroje</w:t>
      </w:r>
      <w:r w:rsidR="00091B04" w:rsidRPr="00A73FCE">
        <w:rPr>
          <w:color w:val="auto"/>
          <w:lang w:eastAsia="ja-JP"/>
        </w:rPr>
        <w:t xml:space="preserve"> vietoje</w:t>
      </w:r>
      <w:r w:rsidR="003557CA" w:rsidRPr="00A73FCE">
        <w:rPr>
          <w:color w:val="auto"/>
          <w:lang w:eastAsia="ja-JP"/>
        </w:rPr>
        <w:t xml:space="preserve"> – </w:t>
      </w:r>
      <w:r w:rsidRPr="00A73FCE">
        <w:rPr>
          <w:color w:val="auto"/>
          <w:lang w:eastAsia="ja-JP"/>
        </w:rPr>
        <w:t xml:space="preserve">stacionarinio gydymo paslaugų kontrolę (bendras žalos dydis – 405,52 tūkst. Eur), </w:t>
      </w:r>
      <w:r w:rsidR="003557CA" w:rsidRPr="00A73FCE">
        <w:rPr>
          <w:color w:val="auto"/>
          <w:lang w:eastAsia="ja-JP"/>
        </w:rPr>
        <w:t>trečioje</w:t>
      </w:r>
      <w:r w:rsidRPr="00A73FCE">
        <w:rPr>
          <w:color w:val="auto"/>
          <w:lang w:eastAsia="ja-JP"/>
        </w:rPr>
        <w:t xml:space="preserve"> – slaugos paslaugų kontrol</w:t>
      </w:r>
      <w:r w:rsidR="006731EC" w:rsidRPr="00A73FCE">
        <w:rPr>
          <w:color w:val="auto"/>
          <w:lang w:eastAsia="ja-JP"/>
        </w:rPr>
        <w:t>ę</w:t>
      </w:r>
      <w:r w:rsidRPr="00A73FCE">
        <w:rPr>
          <w:color w:val="auto"/>
          <w:lang w:eastAsia="ja-JP"/>
        </w:rPr>
        <w:t xml:space="preserve"> (bendras žalos dydis – 389,33 tūkst. Eur).</w:t>
      </w:r>
    </w:p>
    <w:p w14:paraId="12E21FD1" w14:textId="77777777" w:rsidR="00177D2C" w:rsidRPr="000833D6" w:rsidRDefault="00177D2C" w:rsidP="0055698D">
      <w:pPr>
        <w:pStyle w:val="Default"/>
        <w:jc w:val="both"/>
        <w:rPr>
          <w:color w:val="auto"/>
          <w:lang w:eastAsia="ja-JP"/>
        </w:rPr>
      </w:pPr>
    </w:p>
    <w:p w14:paraId="43A49300" w14:textId="1EDFCD49" w:rsidR="000F1113" w:rsidRPr="00157C0B" w:rsidRDefault="00283F46" w:rsidP="00C128D6">
      <w:pPr>
        <w:tabs>
          <w:tab w:val="left" w:pos="709"/>
          <w:tab w:val="left" w:pos="3402"/>
        </w:tabs>
        <w:spacing w:after="0" w:line="240" w:lineRule="auto"/>
        <w:rPr>
          <w:rFonts w:ascii="Times New Roman" w:hAnsi="Times New Roman" w:cs="Times New Roman"/>
          <w:i/>
          <w:iCs/>
          <w:sz w:val="24"/>
          <w:szCs w:val="24"/>
        </w:rPr>
      </w:pPr>
      <w:r w:rsidRPr="00157C0B">
        <w:rPr>
          <w:rFonts w:ascii="Times New Roman" w:hAnsi="Times New Roman" w:cs="Times New Roman"/>
          <w:i/>
          <w:iCs/>
          <w:sz w:val="24"/>
          <w:szCs w:val="24"/>
        </w:rPr>
        <w:t>4</w:t>
      </w:r>
      <w:r w:rsidR="00B80D57" w:rsidRPr="00157C0B">
        <w:rPr>
          <w:rFonts w:ascii="Times New Roman" w:hAnsi="Times New Roman" w:cs="Times New Roman"/>
          <w:i/>
          <w:iCs/>
          <w:sz w:val="24"/>
          <w:szCs w:val="24"/>
        </w:rPr>
        <w:t xml:space="preserve"> </w:t>
      </w:r>
      <w:r w:rsidR="000F1113" w:rsidRPr="00157C0B">
        <w:rPr>
          <w:rFonts w:ascii="Times New Roman" w:hAnsi="Times New Roman" w:cs="Times New Roman"/>
          <w:i/>
          <w:iCs/>
          <w:sz w:val="24"/>
          <w:szCs w:val="24"/>
        </w:rPr>
        <w:t>lentelė.</w:t>
      </w:r>
      <w:r w:rsidR="000F1113" w:rsidRPr="00157C0B">
        <w:rPr>
          <w:rFonts w:ascii="Times New Roman" w:hAnsi="Times New Roman" w:cs="Times New Roman"/>
          <w:bCs/>
          <w:sz w:val="24"/>
          <w:szCs w:val="24"/>
        </w:rPr>
        <w:t xml:space="preserve"> </w:t>
      </w:r>
      <w:r w:rsidR="000F1113" w:rsidRPr="00157C0B">
        <w:rPr>
          <w:rFonts w:ascii="Times New Roman" w:hAnsi="Times New Roman" w:cs="Times New Roman"/>
          <w:bCs/>
          <w:i/>
          <w:iCs/>
          <w:sz w:val="24"/>
          <w:szCs w:val="24"/>
        </w:rPr>
        <w:t>Žalos PSDF biudžetui pasiskirstymas pagal kontrolės kryptis</w:t>
      </w:r>
      <w:r w:rsidR="00327C23" w:rsidRPr="00157C0B">
        <w:rPr>
          <w:rFonts w:ascii="Times New Roman" w:hAnsi="Times New Roman" w:cs="Times New Roman"/>
          <w:bCs/>
          <w:i/>
          <w:iCs/>
          <w:sz w:val="24"/>
          <w:szCs w:val="24"/>
        </w:rPr>
        <w:t>.</w:t>
      </w:r>
    </w:p>
    <w:tbl>
      <w:tblPr>
        <w:tblStyle w:val="1tinkleliolentelviesi-1parykinimas"/>
        <w:tblW w:w="0" w:type="auto"/>
        <w:tblLook w:val="04A0" w:firstRow="1" w:lastRow="0" w:firstColumn="1" w:lastColumn="0" w:noHBand="0" w:noVBand="1"/>
      </w:tblPr>
      <w:tblGrid>
        <w:gridCol w:w="837"/>
        <w:gridCol w:w="3732"/>
        <w:gridCol w:w="1669"/>
        <w:gridCol w:w="1695"/>
        <w:gridCol w:w="1695"/>
      </w:tblGrid>
      <w:tr w:rsidR="006C454C" w:rsidRPr="00395939" w14:paraId="6736A259" w14:textId="77777777" w:rsidTr="00530D9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DEEAF6" w:themeFill="accent5" w:themeFillTint="33"/>
            <w:vAlign w:val="center"/>
          </w:tcPr>
          <w:p w14:paraId="4E3CE0FB" w14:textId="42CB0239" w:rsidR="006C454C" w:rsidRPr="00395939" w:rsidRDefault="006C454C" w:rsidP="00395939">
            <w:pPr>
              <w:pStyle w:val="Default"/>
              <w:jc w:val="center"/>
              <w:rPr>
                <w:sz w:val="20"/>
                <w:szCs w:val="20"/>
              </w:rPr>
            </w:pPr>
            <w:r w:rsidRPr="00395939">
              <w:rPr>
                <w:sz w:val="20"/>
                <w:szCs w:val="20"/>
              </w:rPr>
              <w:t>Eil. Nr.</w:t>
            </w:r>
          </w:p>
        </w:tc>
        <w:tc>
          <w:tcPr>
            <w:tcW w:w="3732" w:type="dxa"/>
            <w:shd w:val="clear" w:color="auto" w:fill="DEEAF6" w:themeFill="accent5" w:themeFillTint="33"/>
            <w:vAlign w:val="center"/>
          </w:tcPr>
          <w:p w14:paraId="108FD561" w14:textId="7F1ED8D9" w:rsidR="006C454C" w:rsidRPr="00395939" w:rsidRDefault="006C454C" w:rsidP="00395939">
            <w:pPr>
              <w:pStyle w:val="Default"/>
              <w:jc w:val="center"/>
              <w:cnfStyle w:val="100000000000" w:firstRow="1" w:lastRow="0" w:firstColumn="0" w:lastColumn="0" w:oddVBand="0" w:evenVBand="0" w:oddHBand="0" w:evenHBand="0" w:firstRowFirstColumn="0" w:firstRowLastColumn="0" w:lastRowFirstColumn="0" w:lastRowLastColumn="0"/>
              <w:rPr>
                <w:sz w:val="20"/>
                <w:szCs w:val="20"/>
              </w:rPr>
            </w:pPr>
            <w:r w:rsidRPr="00395939">
              <w:rPr>
                <w:sz w:val="20"/>
                <w:szCs w:val="20"/>
              </w:rPr>
              <w:t>Kontrolės kryptis</w:t>
            </w:r>
          </w:p>
        </w:tc>
        <w:tc>
          <w:tcPr>
            <w:tcW w:w="1669" w:type="dxa"/>
            <w:shd w:val="clear" w:color="auto" w:fill="DEEAF6" w:themeFill="accent5" w:themeFillTint="33"/>
            <w:vAlign w:val="center"/>
          </w:tcPr>
          <w:p w14:paraId="78F995B2" w14:textId="4827CB87" w:rsidR="006C454C" w:rsidRPr="00395939" w:rsidRDefault="006C454C" w:rsidP="00530D9B">
            <w:pPr>
              <w:pStyle w:val="Default"/>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2023 m.</w:t>
            </w:r>
          </w:p>
        </w:tc>
        <w:tc>
          <w:tcPr>
            <w:tcW w:w="3390" w:type="dxa"/>
            <w:gridSpan w:val="2"/>
            <w:shd w:val="clear" w:color="auto" w:fill="DEEAF6" w:themeFill="accent5" w:themeFillTint="33"/>
            <w:vAlign w:val="center"/>
          </w:tcPr>
          <w:p w14:paraId="425C3A55" w14:textId="5DCC5B58" w:rsidR="006C454C" w:rsidRPr="00395939" w:rsidRDefault="006C454C" w:rsidP="00530D9B">
            <w:pPr>
              <w:pStyle w:val="Default"/>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2024 m.</w:t>
            </w:r>
          </w:p>
        </w:tc>
      </w:tr>
      <w:tr w:rsidR="00395939" w:rsidRPr="00395939" w14:paraId="427DFA5D" w14:textId="21CF0155" w:rsidTr="00530D9B">
        <w:trPr>
          <w:trHeight w:val="20"/>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DEEAF6" w:themeFill="accent5" w:themeFillTint="33"/>
            <w:vAlign w:val="center"/>
          </w:tcPr>
          <w:p w14:paraId="04877247" w14:textId="4D1F4912" w:rsidR="00656366" w:rsidRPr="00887AD4" w:rsidRDefault="00656366" w:rsidP="00395939">
            <w:pPr>
              <w:pStyle w:val="Default"/>
              <w:jc w:val="center"/>
              <w:rPr>
                <w:rFonts w:eastAsia="Times New Roman"/>
                <w:color w:val="auto"/>
                <w:sz w:val="20"/>
                <w:szCs w:val="20"/>
              </w:rPr>
            </w:pPr>
            <w:bookmarkStart w:id="3" w:name="_Hlk161071769"/>
          </w:p>
        </w:tc>
        <w:tc>
          <w:tcPr>
            <w:tcW w:w="3732" w:type="dxa"/>
            <w:shd w:val="clear" w:color="auto" w:fill="DEEAF6" w:themeFill="accent5" w:themeFillTint="33"/>
            <w:vAlign w:val="center"/>
          </w:tcPr>
          <w:p w14:paraId="4134F491" w14:textId="637CB259" w:rsidR="00656366" w:rsidRPr="00887AD4" w:rsidRDefault="00656366" w:rsidP="00395939">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p>
        </w:tc>
        <w:tc>
          <w:tcPr>
            <w:tcW w:w="1669" w:type="dxa"/>
            <w:shd w:val="clear" w:color="auto" w:fill="DEEAF6" w:themeFill="accent5" w:themeFillTint="33"/>
            <w:vAlign w:val="center"/>
          </w:tcPr>
          <w:p w14:paraId="6EB65941" w14:textId="1043D616" w:rsidR="00656366" w:rsidRPr="00887AD4" w:rsidRDefault="006C454C" w:rsidP="00395939">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30D9B">
              <w:rPr>
                <w:color w:val="auto"/>
                <w:sz w:val="20"/>
                <w:szCs w:val="20"/>
              </w:rPr>
              <w:t>Nustatyta</w:t>
            </w:r>
            <w:r w:rsidR="00656366" w:rsidRPr="00530D9B">
              <w:rPr>
                <w:color w:val="auto"/>
                <w:sz w:val="20"/>
                <w:szCs w:val="20"/>
              </w:rPr>
              <w:t xml:space="preserve"> žala PSDF (tūkst. </w:t>
            </w:r>
            <w:r w:rsidRPr="00530D9B">
              <w:rPr>
                <w:color w:val="auto"/>
                <w:sz w:val="20"/>
                <w:szCs w:val="20"/>
              </w:rPr>
              <w:t>Eur) kontrolės procedūrų metu</w:t>
            </w:r>
          </w:p>
        </w:tc>
        <w:tc>
          <w:tcPr>
            <w:tcW w:w="1695" w:type="dxa"/>
            <w:shd w:val="clear" w:color="auto" w:fill="DEEAF6" w:themeFill="accent5" w:themeFillTint="33"/>
            <w:vAlign w:val="center"/>
          </w:tcPr>
          <w:p w14:paraId="226D6F12" w14:textId="14C2B111" w:rsidR="00656366" w:rsidRPr="00530D9B" w:rsidRDefault="006C454C" w:rsidP="0039593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30D9B">
              <w:rPr>
                <w:color w:val="auto"/>
                <w:sz w:val="20"/>
                <w:szCs w:val="20"/>
              </w:rPr>
              <w:t>Nustatyta</w:t>
            </w:r>
            <w:r w:rsidR="00656366" w:rsidRPr="00530D9B">
              <w:rPr>
                <w:color w:val="auto"/>
                <w:sz w:val="20"/>
                <w:szCs w:val="20"/>
              </w:rPr>
              <w:t xml:space="preserve"> žala PSDF (tūkst. </w:t>
            </w:r>
            <w:r w:rsidRPr="00530D9B">
              <w:rPr>
                <w:color w:val="auto"/>
                <w:sz w:val="20"/>
                <w:szCs w:val="20"/>
              </w:rPr>
              <w:t>Eur) kontrolės procedūrų metu</w:t>
            </w:r>
          </w:p>
        </w:tc>
        <w:tc>
          <w:tcPr>
            <w:tcW w:w="1695" w:type="dxa"/>
            <w:shd w:val="clear" w:color="auto" w:fill="DEEAF6" w:themeFill="accent5" w:themeFillTint="33"/>
            <w:vAlign w:val="center"/>
          </w:tcPr>
          <w:p w14:paraId="452BCCFB" w14:textId="0A5DF36A" w:rsidR="006C454C" w:rsidRPr="00530D9B" w:rsidRDefault="006C454C" w:rsidP="00530D9B">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30D9B">
              <w:rPr>
                <w:color w:val="auto"/>
                <w:sz w:val="20"/>
                <w:szCs w:val="20"/>
              </w:rPr>
              <w:t>Nustatyta žala PSDF (tūkst. Eur) SNV</w:t>
            </w:r>
            <w:r w:rsidR="006731EC">
              <w:rPr>
                <w:color w:val="auto"/>
                <w:sz w:val="20"/>
                <w:szCs w:val="20"/>
              </w:rPr>
              <w:t xml:space="preserve"> procedūrų</w:t>
            </w:r>
            <w:r w:rsidRPr="00530D9B">
              <w:rPr>
                <w:color w:val="auto"/>
                <w:sz w:val="20"/>
                <w:szCs w:val="20"/>
              </w:rPr>
              <w:t xml:space="preserve"> metu</w:t>
            </w:r>
          </w:p>
        </w:tc>
      </w:tr>
      <w:tr w:rsidR="00395939" w:rsidRPr="006639C7" w14:paraId="6F62A912" w14:textId="79E93DE5"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0493EA87" w14:textId="00623277"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lastRenderedPageBreak/>
              <w:t>1.</w:t>
            </w:r>
          </w:p>
        </w:tc>
        <w:tc>
          <w:tcPr>
            <w:tcW w:w="3732" w:type="dxa"/>
          </w:tcPr>
          <w:p w14:paraId="75FAAB6E" w14:textId="2AB9386F"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Kompensuojamųjų pirminės ambulatorinės asmens sveikatos priežiūros paslaugų kontrolė</w:t>
            </w:r>
          </w:p>
        </w:tc>
        <w:tc>
          <w:tcPr>
            <w:tcW w:w="1669" w:type="dxa"/>
          </w:tcPr>
          <w:p w14:paraId="1CE72482" w14:textId="35197EC4"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395939">
              <w:rPr>
                <w:rFonts w:ascii="Times New Roman" w:hAnsi="Times New Roman" w:cs="Times New Roman"/>
                <w:sz w:val="20"/>
                <w:szCs w:val="20"/>
              </w:rPr>
              <w:t>9,5</w:t>
            </w:r>
          </w:p>
        </w:tc>
        <w:tc>
          <w:tcPr>
            <w:tcW w:w="1695" w:type="dxa"/>
          </w:tcPr>
          <w:p w14:paraId="60D5F004" w14:textId="05E6D0E8" w:rsidR="00656366" w:rsidRPr="006639C7" w:rsidRDefault="00656366" w:rsidP="00395939">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6639C7">
              <w:rPr>
                <w:sz w:val="20"/>
                <w:szCs w:val="20"/>
              </w:rPr>
              <w:t>95,82</w:t>
            </w:r>
          </w:p>
        </w:tc>
        <w:tc>
          <w:tcPr>
            <w:tcW w:w="1695" w:type="dxa"/>
          </w:tcPr>
          <w:p w14:paraId="44EDCAB8" w14:textId="62D64CEE" w:rsidR="00087FE9" w:rsidRPr="00D61892" w:rsidRDefault="00087FE9" w:rsidP="00395939">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D61892">
              <w:rPr>
                <w:sz w:val="20"/>
                <w:szCs w:val="20"/>
              </w:rPr>
              <w:t>23,25</w:t>
            </w:r>
          </w:p>
        </w:tc>
      </w:tr>
      <w:tr w:rsidR="00395939" w:rsidRPr="00395939" w14:paraId="7D952783" w14:textId="7B175E5E"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3B195272" w14:textId="1475FDD5"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2.</w:t>
            </w:r>
          </w:p>
        </w:tc>
        <w:tc>
          <w:tcPr>
            <w:tcW w:w="3732" w:type="dxa"/>
          </w:tcPr>
          <w:p w14:paraId="36FCFD98" w14:textId="1EB6D2AB"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kern w:val="24"/>
                <w:sz w:val="20"/>
                <w:szCs w:val="20"/>
              </w:rPr>
              <w:t>Siuntimų konsultuoti, hospitalizuoti ir (ar) atlikti brangiuosius tyrimus ir procedūras tinkamumo bei pagrįstumo kontrolė</w:t>
            </w:r>
          </w:p>
        </w:tc>
        <w:tc>
          <w:tcPr>
            <w:tcW w:w="1669" w:type="dxa"/>
          </w:tcPr>
          <w:p w14:paraId="73DCDAF3" w14:textId="25A0E982"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0</w:t>
            </w:r>
          </w:p>
        </w:tc>
        <w:tc>
          <w:tcPr>
            <w:tcW w:w="1695" w:type="dxa"/>
          </w:tcPr>
          <w:p w14:paraId="785E841B" w14:textId="4D57AA59"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0,15</w:t>
            </w:r>
          </w:p>
        </w:tc>
        <w:tc>
          <w:tcPr>
            <w:tcW w:w="1695" w:type="dxa"/>
          </w:tcPr>
          <w:p w14:paraId="017FD6A5" w14:textId="52523B46" w:rsidR="00087FE9" w:rsidRPr="00D61892" w:rsidRDefault="00087FE9"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892">
              <w:rPr>
                <w:rFonts w:ascii="Times New Roman" w:hAnsi="Times New Roman" w:cs="Times New Roman"/>
                <w:sz w:val="20"/>
                <w:szCs w:val="20"/>
              </w:rPr>
              <w:t>0</w:t>
            </w:r>
          </w:p>
        </w:tc>
      </w:tr>
      <w:tr w:rsidR="00395939" w:rsidRPr="006639C7" w14:paraId="0FDD309C" w14:textId="34E15EEC"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2D06E259" w14:textId="08E7B25F"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3.</w:t>
            </w:r>
          </w:p>
        </w:tc>
        <w:tc>
          <w:tcPr>
            <w:tcW w:w="3732" w:type="dxa"/>
          </w:tcPr>
          <w:p w14:paraId="5E19D03D" w14:textId="66BCA384"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kern w:val="24"/>
                <w:sz w:val="20"/>
                <w:szCs w:val="20"/>
              </w:rPr>
              <w:t>Slaugos paslaugų kontrolė</w:t>
            </w:r>
          </w:p>
        </w:tc>
        <w:tc>
          <w:tcPr>
            <w:tcW w:w="1669" w:type="dxa"/>
          </w:tcPr>
          <w:p w14:paraId="57671E1A" w14:textId="686E6442"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243,7</w:t>
            </w:r>
          </w:p>
        </w:tc>
        <w:tc>
          <w:tcPr>
            <w:tcW w:w="1695" w:type="dxa"/>
          </w:tcPr>
          <w:p w14:paraId="3AB966FB" w14:textId="562057E8" w:rsidR="00656366" w:rsidRPr="00A05A7F"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05A7F">
              <w:rPr>
                <w:rFonts w:ascii="Times New Roman" w:hAnsi="Times New Roman" w:cs="Times New Roman"/>
                <w:b/>
                <w:bCs/>
                <w:sz w:val="20"/>
                <w:szCs w:val="20"/>
              </w:rPr>
              <w:t>201,34</w:t>
            </w:r>
          </w:p>
        </w:tc>
        <w:tc>
          <w:tcPr>
            <w:tcW w:w="1695" w:type="dxa"/>
          </w:tcPr>
          <w:p w14:paraId="1549E738" w14:textId="6CC1F9C1" w:rsidR="00087FE9" w:rsidRPr="00A05A7F" w:rsidRDefault="00087FE9"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05A7F">
              <w:rPr>
                <w:rFonts w:ascii="Times New Roman" w:hAnsi="Times New Roman" w:cs="Times New Roman"/>
                <w:b/>
                <w:bCs/>
                <w:sz w:val="20"/>
                <w:szCs w:val="20"/>
              </w:rPr>
              <w:t>187,99</w:t>
            </w:r>
          </w:p>
        </w:tc>
      </w:tr>
      <w:tr w:rsidR="00395939" w:rsidRPr="00395939" w14:paraId="14247F77" w14:textId="05C6CCDA"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606354E9" w14:textId="503CF463"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4.</w:t>
            </w:r>
          </w:p>
        </w:tc>
        <w:tc>
          <w:tcPr>
            <w:tcW w:w="3732" w:type="dxa"/>
          </w:tcPr>
          <w:p w14:paraId="339E7E01" w14:textId="6DD9DE09"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kern w:val="24"/>
                <w:sz w:val="20"/>
                <w:szCs w:val="20"/>
              </w:rPr>
              <w:t>Greitosios medicinos pagalbos paslaugų kontrolė</w:t>
            </w:r>
          </w:p>
        </w:tc>
        <w:tc>
          <w:tcPr>
            <w:tcW w:w="1669" w:type="dxa"/>
          </w:tcPr>
          <w:p w14:paraId="68A671AC" w14:textId="43DB569F"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0</w:t>
            </w:r>
          </w:p>
        </w:tc>
        <w:tc>
          <w:tcPr>
            <w:tcW w:w="1695" w:type="dxa"/>
          </w:tcPr>
          <w:p w14:paraId="0D374806" w14:textId="77E9D84C"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0</w:t>
            </w:r>
          </w:p>
        </w:tc>
        <w:tc>
          <w:tcPr>
            <w:tcW w:w="1695" w:type="dxa"/>
          </w:tcPr>
          <w:p w14:paraId="6DB32AC5" w14:textId="68974C2F" w:rsidR="00087FE9" w:rsidRPr="00D61892" w:rsidRDefault="00087FE9"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892">
              <w:rPr>
                <w:rFonts w:ascii="Times New Roman" w:hAnsi="Times New Roman" w:cs="Times New Roman"/>
                <w:sz w:val="20"/>
                <w:szCs w:val="20"/>
              </w:rPr>
              <w:t>0</w:t>
            </w:r>
          </w:p>
        </w:tc>
      </w:tr>
      <w:tr w:rsidR="00395939" w:rsidRPr="006639C7" w14:paraId="53C535DE" w14:textId="5CD6F0C6"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50D1B144" w14:textId="27672987"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 xml:space="preserve">5. </w:t>
            </w:r>
          </w:p>
        </w:tc>
        <w:tc>
          <w:tcPr>
            <w:tcW w:w="3732" w:type="dxa"/>
          </w:tcPr>
          <w:p w14:paraId="178A5645" w14:textId="5A27EC5D"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0"/>
                <w:szCs w:val="20"/>
              </w:rPr>
            </w:pPr>
            <w:r w:rsidRPr="00395939">
              <w:rPr>
                <w:rFonts w:ascii="Times New Roman" w:hAnsi="Times New Roman" w:cs="Times New Roman"/>
                <w:sz w:val="20"/>
                <w:szCs w:val="20"/>
              </w:rPr>
              <w:t>Skubios konsultacinės sveikatos priežiūros pagalbos paslaugų kontrolė</w:t>
            </w:r>
          </w:p>
        </w:tc>
        <w:tc>
          <w:tcPr>
            <w:tcW w:w="1669" w:type="dxa"/>
          </w:tcPr>
          <w:p w14:paraId="291CDFDF" w14:textId="5096DA37"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0</w:t>
            </w:r>
          </w:p>
        </w:tc>
        <w:tc>
          <w:tcPr>
            <w:tcW w:w="1695" w:type="dxa"/>
          </w:tcPr>
          <w:p w14:paraId="5BA9E3B8" w14:textId="17424161"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0</w:t>
            </w:r>
          </w:p>
        </w:tc>
        <w:tc>
          <w:tcPr>
            <w:tcW w:w="1695" w:type="dxa"/>
          </w:tcPr>
          <w:p w14:paraId="107F17EB" w14:textId="751789AB" w:rsidR="00087FE9" w:rsidRPr="00D61892" w:rsidRDefault="00087FE9"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892">
              <w:rPr>
                <w:rFonts w:ascii="Times New Roman" w:hAnsi="Times New Roman" w:cs="Times New Roman"/>
                <w:sz w:val="20"/>
                <w:szCs w:val="20"/>
              </w:rPr>
              <w:t>2,36</w:t>
            </w:r>
          </w:p>
        </w:tc>
      </w:tr>
      <w:tr w:rsidR="00395939" w:rsidRPr="00395939" w14:paraId="44B5EC3F" w14:textId="5D9D3904"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430DFDA6" w14:textId="0C44893F"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6.</w:t>
            </w:r>
          </w:p>
        </w:tc>
        <w:tc>
          <w:tcPr>
            <w:tcW w:w="3732" w:type="dxa"/>
          </w:tcPr>
          <w:p w14:paraId="573AC5DB" w14:textId="48A3979B"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kern w:val="24"/>
                <w:sz w:val="20"/>
                <w:szCs w:val="20"/>
              </w:rPr>
              <w:t>Specializuotų ambulatorinių paslaugų kontrolė</w:t>
            </w:r>
          </w:p>
        </w:tc>
        <w:tc>
          <w:tcPr>
            <w:tcW w:w="1669" w:type="dxa"/>
          </w:tcPr>
          <w:p w14:paraId="1EB35AD5" w14:textId="7B10762A"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95,3</w:t>
            </w:r>
          </w:p>
        </w:tc>
        <w:tc>
          <w:tcPr>
            <w:tcW w:w="1695" w:type="dxa"/>
          </w:tcPr>
          <w:p w14:paraId="3E92D74F" w14:textId="4B660C89"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111,42</w:t>
            </w:r>
          </w:p>
        </w:tc>
        <w:tc>
          <w:tcPr>
            <w:tcW w:w="1695" w:type="dxa"/>
          </w:tcPr>
          <w:p w14:paraId="012AB083" w14:textId="3C241EC4" w:rsidR="00087FE9" w:rsidRPr="00D61892" w:rsidRDefault="00087FE9"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892">
              <w:rPr>
                <w:rFonts w:ascii="Times New Roman" w:hAnsi="Times New Roman" w:cs="Times New Roman"/>
                <w:sz w:val="20"/>
                <w:szCs w:val="20"/>
              </w:rPr>
              <w:t>92,42</w:t>
            </w:r>
          </w:p>
        </w:tc>
      </w:tr>
      <w:tr w:rsidR="00395939" w:rsidRPr="006639C7" w14:paraId="73E465F8" w14:textId="199B8B96"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4D0DE0C9" w14:textId="2F1053D6"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7.</w:t>
            </w:r>
          </w:p>
        </w:tc>
        <w:tc>
          <w:tcPr>
            <w:tcW w:w="3732" w:type="dxa"/>
          </w:tcPr>
          <w:p w14:paraId="12350DEC" w14:textId="46FBFDC2"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kern w:val="24"/>
                <w:sz w:val="20"/>
                <w:szCs w:val="20"/>
              </w:rPr>
              <w:t>Dienos chirurgijos, ambulatorinės chirurgijos, dienos stacionaro, stebėjimo ir skubiosios pagalbos paslaugų kontrolė</w:t>
            </w:r>
          </w:p>
        </w:tc>
        <w:tc>
          <w:tcPr>
            <w:tcW w:w="1669" w:type="dxa"/>
          </w:tcPr>
          <w:p w14:paraId="489BDC6B" w14:textId="5E191120"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395939">
              <w:rPr>
                <w:rFonts w:ascii="Times New Roman" w:hAnsi="Times New Roman" w:cs="Times New Roman"/>
                <w:sz w:val="20"/>
                <w:szCs w:val="20"/>
              </w:rPr>
              <w:t>21,3</w:t>
            </w:r>
          </w:p>
        </w:tc>
        <w:tc>
          <w:tcPr>
            <w:tcW w:w="1695" w:type="dxa"/>
          </w:tcPr>
          <w:p w14:paraId="121C6957" w14:textId="696ACDF8"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106,79</w:t>
            </w:r>
          </w:p>
        </w:tc>
        <w:tc>
          <w:tcPr>
            <w:tcW w:w="1695" w:type="dxa"/>
          </w:tcPr>
          <w:p w14:paraId="253B418E" w14:textId="1B4D33E6" w:rsidR="00087FE9" w:rsidRPr="00D61892" w:rsidRDefault="00087FE9"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892">
              <w:rPr>
                <w:rFonts w:ascii="Times New Roman" w:hAnsi="Times New Roman" w:cs="Times New Roman"/>
                <w:sz w:val="20"/>
                <w:szCs w:val="20"/>
              </w:rPr>
              <w:t>73,59</w:t>
            </w:r>
          </w:p>
        </w:tc>
      </w:tr>
      <w:tr w:rsidR="00395939" w:rsidRPr="00395939" w14:paraId="46845B8B" w14:textId="54F9B987"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3BD59F74" w14:textId="10AB8F9E"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8.</w:t>
            </w:r>
          </w:p>
        </w:tc>
        <w:tc>
          <w:tcPr>
            <w:tcW w:w="3732" w:type="dxa"/>
          </w:tcPr>
          <w:p w14:paraId="1C28DE39" w14:textId="4C42DD42"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kern w:val="24"/>
                <w:sz w:val="20"/>
                <w:szCs w:val="20"/>
              </w:rPr>
              <w:t>Stacionarinio gydymo paslaugų kontrolė</w:t>
            </w:r>
          </w:p>
        </w:tc>
        <w:tc>
          <w:tcPr>
            <w:tcW w:w="1669" w:type="dxa"/>
          </w:tcPr>
          <w:p w14:paraId="0243B907" w14:textId="124607B3"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395939">
              <w:rPr>
                <w:rFonts w:ascii="Times New Roman" w:hAnsi="Times New Roman" w:cs="Times New Roman"/>
                <w:sz w:val="20"/>
                <w:szCs w:val="20"/>
              </w:rPr>
              <w:t>7,3</w:t>
            </w:r>
          </w:p>
        </w:tc>
        <w:tc>
          <w:tcPr>
            <w:tcW w:w="1695" w:type="dxa"/>
          </w:tcPr>
          <w:p w14:paraId="4F3106F4" w14:textId="2E7F66E0" w:rsidR="00656366" w:rsidRPr="00A05A7F"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05A7F">
              <w:rPr>
                <w:rFonts w:ascii="Times New Roman" w:hAnsi="Times New Roman" w:cs="Times New Roman"/>
                <w:b/>
                <w:bCs/>
                <w:sz w:val="20"/>
                <w:szCs w:val="20"/>
              </w:rPr>
              <w:t>173,80</w:t>
            </w:r>
          </w:p>
        </w:tc>
        <w:tc>
          <w:tcPr>
            <w:tcW w:w="1695" w:type="dxa"/>
          </w:tcPr>
          <w:p w14:paraId="1A123D3E" w14:textId="688B9315" w:rsidR="00087FE9" w:rsidRPr="00A05A7F" w:rsidRDefault="00087FE9"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05A7F">
              <w:rPr>
                <w:rFonts w:ascii="Times New Roman" w:hAnsi="Times New Roman" w:cs="Times New Roman"/>
                <w:b/>
                <w:bCs/>
                <w:sz w:val="20"/>
                <w:szCs w:val="20"/>
              </w:rPr>
              <w:t>231,72</w:t>
            </w:r>
          </w:p>
        </w:tc>
      </w:tr>
      <w:tr w:rsidR="00395939" w:rsidRPr="006639C7" w14:paraId="0A2EBDC6" w14:textId="5EE1AD9B"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4BB3882F" w14:textId="504CEEA1"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9.</w:t>
            </w:r>
          </w:p>
        </w:tc>
        <w:tc>
          <w:tcPr>
            <w:tcW w:w="3732" w:type="dxa"/>
          </w:tcPr>
          <w:p w14:paraId="417C4B44" w14:textId="3C2F0864"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kern w:val="24"/>
                <w:sz w:val="20"/>
                <w:szCs w:val="20"/>
              </w:rPr>
              <w:t>Dantų protezavimo paslaugų kontrolė</w:t>
            </w:r>
          </w:p>
        </w:tc>
        <w:tc>
          <w:tcPr>
            <w:tcW w:w="1669" w:type="dxa"/>
          </w:tcPr>
          <w:p w14:paraId="7FBE9901" w14:textId="70FFBF9D"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395939">
              <w:rPr>
                <w:rFonts w:ascii="Times New Roman" w:hAnsi="Times New Roman" w:cs="Times New Roman"/>
                <w:sz w:val="20"/>
                <w:szCs w:val="20"/>
              </w:rPr>
              <w:t>9,8</w:t>
            </w:r>
          </w:p>
        </w:tc>
        <w:tc>
          <w:tcPr>
            <w:tcW w:w="1695" w:type="dxa"/>
          </w:tcPr>
          <w:p w14:paraId="2CFF1E3C" w14:textId="1E703A64" w:rsidR="00656366" w:rsidRPr="00D61892"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892">
              <w:rPr>
                <w:rFonts w:ascii="Times New Roman" w:hAnsi="Times New Roman" w:cs="Times New Roman"/>
                <w:sz w:val="20"/>
                <w:szCs w:val="20"/>
              </w:rPr>
              <w:t>356,82</w:t>
            </w:r>
          </w:p>
        </w:tc>
        <w:tc>
          <w:tcPr>
            <w:tcW w:w="1695" w:type="dxa"/>
          </w:tcPr>
          <w:p w14:paraId="73AADA3B" w14:textId="4D9687F6" w:rsidR="00087FE9" w:rsidRPr="00D61892" w:rsidRDefault="00087FE9"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892">
              <w:rPr>
                <w:rFonts w:ascii="Times New Roman" w:hAnsi="Times New Roman" w:cs="Times New Roman"/>
                <w:sz w:val="20"/>
                <w:szCs w:val="20"/>
              </w:rPr>
              <w:t>0</w:t>
            </w:r>
          </w:p>
        </w:tc>
      </w:tr>
      <w:tr w:rsidR="00395939" w:rsidRPr="00395939" w14:paraId="68A51FEB" w14:textId="37C4836D"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3E50CEFD" w14:textId="130B42CE"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10.</w:t>
            </w:r>
          </w:p>
        </w:tc>
        <w:tc>
          <w:tcPr>
            <w:tcW w:w="3732" w:type="dxa"/>
          </w:tcPr>
          <w:p w14:paraId="3D218C0A" w14:textId="7361AEE1"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kern w:val="24"/>
                <w:sz w:val="20"/>
                <w:szCs w:val="20"/>
              </w:rPr>
              <w:t>Medicininės reabilitacijos ir sanatorinio (antirecidyvinio) gydymo siuntimų išdavimo pagrįstumo kontrolė</w:t>
            </w:r>
          </w:p>
        </w:tc>
        <w:tc>
          <w:tcPr>
            <w:tcW w:w="1669" w:type="dxa"/>
          </w:tcPr>
          <w:p w14:paraId="45A352A2" w14:textId="02906702"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395939">
              <w:rPr>
                <w:rFonts w:ascii="Times New Roman" w:hAnsi="Times New Roman" w:cs="Times New Roman"/>
                <w:sz w:val="20"/>
                <w:szCs w:val="20"/>
              </w:rPr>
              <w:t>0</w:t>
            </w:r>
          </w:p>
        </w:tc>
        <w:tc>
          <w:tcPr>
            <w:tcW w:w="1695" w:type="dxa"/>
          </w:tcPr>
          <w:p w14:paraId="3B5C96F6" w14:textId="29096DC0"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0,21</w:t>
            </w:r>
          </w:p>
        </w:tc>
        <w:tc>
          <w:tcPr>
            <w:tcW w:w="1695" w:type="dxa"/>
          </w:tcPr>
          <w:p w14:paraId="37EA3498" w14:textId="230C7E39" w:rsidR="00087FE9" w:rsidRPr="00D61892" w:rsidRDefault="00087FE9"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892">
              <w:rPr>
                <w:rFonts w:ascii="Times New Roman" w:hAnsi="Times New Roman" w:cs="Times New Roman"/>
                <w:sz w:val="20"/>
                <w:szCs w:val="20"/>
              </w:rPr>
              <w:t>0</w:t>
            </w:r>
          </w:p>
        </w:tc>
      </w:tr>
      <w:tr w:rsidR="00395939" w:rsidRPr="006639C7" w14:paraId="17462332" w14:textId="269BE666"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58A7FA77" w14:textId="71D959DD"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11.</w:t>
            </w:r>
          </w:p>
        </w:tc>
        <w:tc>
          <w:tcPr>
            <w:tcW w:w="3732" w:type="dxa"/>
          </w:tcPr>
          <w:p w14:paraId="3F408209" w14:textId="057EE3AE"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kern w:val="24"/>
                <w:sz w:val="20"/>
                <w:szCs w:val="20"/>
              </w:rPr>
              <w:t>Medicininės reabilitacijos ir sanatorinio (antirecidyvinio) gydymo paslaugų kontrolė</w:t>
            </w:r>
          </w:p>
        </w:tc>
        <w:tc>
          <w:tcPr>
            <w:tcW w:w="1669" w:type="dxa"/>
          </w:tcPr>
          <w:p w14:paraId="50FBAD66" w14:textId="1F6184C9"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395939">
              <w:rPr>
                <w:rFonts w:ascii="Times New Roman" w:hAnsi="Times New Roman" w:cs="Times New Roman"/>
                <w:sz w:val="20"/>
                <w:szCs w:val="20"/>
              </w:rPr>
              <w:t>6,6</w:t>
            </w:r>
          </w:p>
        </w:tc>
        <w:tc>
          <w:tcPr>
            <w:tcW w:w="1695" w:type="dxa"/>
          </w:tcPr>
          <w:p w14:paraId="3E423DFA" w14:textId="5066B38A"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20,96</w:t>
            </w:r>
          </w:p>
        </w:tc>
        <w:tc>
          <w:tcPr>
            <w:tcW w:w="1695" w:type="dxa"/>
          </w:tcPr>
          <w:p w14:paraId="0584749A" w14:textId="57E7254C" w:rsidR="00087FE9" w:rsidRPr="00D61892" w:rsidRDefault="00087FE9"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892">
              <w:rPr>
                <w:rFonts w:ascii="Times New Roman" w:hAnsi="Times New Roman" w:cs="Times New Roman"/>
                <w:sz w:val="20"/>
                <w:szCs w:val="20"/>
              </w:rPr>
              <w:t>6,98</w:t>
            </w:r>
          </w:p>
        </w:tc>
      </w:tr>
      <w:tr w:rsidR="00395939" w:rsidRPr="00395939" w14:paraId="0BF687D6" w14:textId="2C29867D"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2128A0A2" w14:textId="03269DD8"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12.</w:t>
            </w:r>
          </w:p>
        </w:tc>
        <w:tc>
          <w:tcPr>
            <w:tcW w:w="3732" w:type="dxa"/>
          </w:tcPr>
          <w:p w14:paraId="2EA73527" w14:textId="6FF13A16"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0"/>
                <w:szCs w:val="20"/>
              </w:rPr>
            </w:pPr>
            <w:r w:rsidRPr="00395939">
              <w:rPr>
                <w:rFonts w:ascii="Times New Roman" w:hAnsi="Times New Roman" w:cs="Times New Roman"/>
                <w:sz w:val="20"/>
                <w:szCs w:val="20"/>
              </w:rPr>
              <w:t>Brangiųjų tyrimų ir procedūrų kontrolė</w:t>
            </w:r>
          </w:p>
        </w:tc>
        <w:tc>
          <w:tcPr>
            <w:tcW w:w="1669" w:type="dxa"/>
          </w:tcPr>
          <w:p w14:paraId="549C51AF" w14:textId="43BE056D"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37,4</w:t>
            </w:r>
          </w:p>
        </w:tc>
        <w:tc>
          <w:tcPr>
            <w:tcW w:w="1695" w:type="dxa"/>
          </w:tcPr>
          <w:p w14:paraId="409D16F6" w14:textId="2EFF051F"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5,20</w:t>
            </w:r>
          </w:p>
        </w:tc>
        <w:tc>
          <w:tcPr>
            <w:tcW w:w="1695" w:type="dxa"/>
          </w:tcPr>
          <w:p w14:paraId="7F8E63C9" w14:textId="742ECC7C" w:rsidR="00087FE9" w:rsidRPr="00D61892" w:rsidRDefault="00087FE9"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892">
              <w:rPr>
                <w:rFonts w:ascii="Times New Roman" w:hAnsi="Times New Roman" w:cs="Times New Roman"/>
                <w:sz w:val="20"/>
                <w:szCs w:val="20"/>
              </w:rPr>
              <w:t>14,51</w:t>
            </w:r>
          </w:p>
        </w:tc>
      </w:tr>
      <w:tr w:rsidR="00395939" w:rsidRPr="006639C7" w14:paraId="2DC80B80" w14:textId="3860498B"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28768EE0" w14:textId="1C446F0C"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13.</w:t>
            </w:r>
          </w:p>
        </w:tc>
        <w:tc>
          <w:tcPr>
            <w:tcW w:w="3732" w:type="dxa"/>
          </w:tcPr>
          <w:p w14:paraId="675401E3" w14:textId="144E60D2"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0"/>
                <w:szCs w:val="20"/>
              </w:rPr>
            </w:pPr>
            <w:r w:rsidRPr="00395939">
              <w:rPr>
                <w:rFonts w:ascii="Times New Roman" w:hAnsi="Times New Roman" w:cs="Times New Roman"/>
                <w:sz w:val="20"/>
                <w:szCs w:val="20"/>
              </w:rPr>
              <w:t>Ankstyvosios ligų diagnostikos programose numatytų paslaugų kontrolė</w:t>
            </w:r>
          </w:p>
        </w:tc>
        <w:tc>
          <w:tcPr>
            <w:tcW w:w="1669" w:type="dxa"/>
          </w:tcPr>
          <w:p w14:paraId="5731D513" w14:textId="46B77711"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14,4</w:t>
            </w:r>
          </w:p>
        </w:tc>
        <w:tc>
          <w:tcPr>
            <w:tcW w:w="1695" w:type="dxa"/>
          </w:tcPr>
          <w:p w14:paraId="7E3E28C4" w14:textId="1E4F7861"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0</w:t>
            </w:r>
          </w:p>
        </w:tc>
        <w:tc>
          <w:tcPr>
            <w:tcW w:w="1695" w:type="dxa"/>
          </w:tcPr>
          <w:p w14:paraId="444C78BA" w14:textId="4BA3FF6A" w:rsidR="00087FE9" w:rsidRPr="00D61892" w:rsidRDefault="00087FE9"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892">
              <w:rPr>
                <w:rFonts w:ascii="Times New Roman" w:hAnsi="Times New Roman" w:cs="Times New Roman"/>
                <w:sz w:val="20"/>
                <w:szCs w:val="20"/>
              </w:rPr>
              <w:t>0,23</w:t>
            </w:r>
          </w:p>
        </w:tc>
      </w:tr>
      <w:tr w:rsidR="00395939" w:rsidRPr="00395939" w14:paraId="5CD88C41" w14:textId="05160275"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298F6E16" w14:textId="40A39862"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14.</w:t>
            </w:r>
          </w:p>
        </w:tc>
        <w:tc>
          <w:tcPr>
            <w:tcW w:w="3732" w:type="dxa"/>
          </w:tcPr>
          <w:p w14:paraId="7E7F1502" w14:textId="6A6CF4D3"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0"/>
                <w:szCs w:val="20"/>
              </w:rPr>
            </w:pPr>
            <w:r w:rsidRPr="00395939">
              <w:rPr>
                <w:rFonts w:ascii="Times New Roman" w:hAnsi="Times New Roman" w:cs="Times New Roman"/>
                <w:sz w:val="20"/>
                <w:szCs w:val="20"/>
              </w:rPr>
              <w:t>PSDF lėšų kraujo donorų kompensacijoms ir neatlygintinai kraujo donorystei propaguoti panaudojimo kontrolė</w:t>
            </w:r>
          </w:p>
        </w:tc>
        <w:tc>
          <w:tcPr>
            <w:tcW w:w="1669" w:type="dxa"/>
          </w:tcPr>
          <w:p w14:paraId="39110423" w14:textId="6A9131AC"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0</w:t>
            </w:r>
          </w:p>
        </w:tc>
        <w:tc>
          <w:tcPr>
            <w:tcW w:w="1695" w:type="dxa"/>
          </w:tcPr>
          <w:p w14:paraId="1AA8F84B" w14:textId="563EC5F1"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0</w:t>
            </w:r>
          </w:p>
        </w:tc>
        <w:tc>
          <w:tcPr>
            <w:tcW w:w="1695" w:type="dxa"/>
          </w:tcPr>
          <w:p w14:paraId="1AD2D5C0" w14:textId="2F47A69C" w:rsidR="00530D9B" w:rsidRPr="00D61892" w:rsidRDefault="00530D9B"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892">
              <w:rPr>
                <w:rFonts w:ascii="Times New Roman" w:hAnsi="Times New Roman" w:cs="Times New Roman"/>
                <w:sz w:val="20"/>
                <w:szCs w:val="20"/>
              </w:rPr>
              <w:t>0</w:t>
            </w:r>
          </w:p>
        </w:tc>
      </w:tr>
      <w:tr w:rsidR="00395939" w:rsidRPr="006639C7" w14:paraId="120052E8" w14:textId="15C3FE9B"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0B279EE7" w14:textId="522C4FF8"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15.</w:t>
            </w:r>
          </w:p>
        </w:tc>
        <w:tc>
          <w:tcPr>
            <w:tcW w:w="3732" w:type="dxa"/>
          </w:tcPr>
          <w:p w14:paraId="0A07CD47" w14:textId="77DBA60B"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kern w:val="24"/>
                <w:sz w:val="20"/>
                <w:szCs w:val="20"/>
              </w:rPr>
              <w:t>Kompensuojamųjų vaistų ir medicinos pagalbos priemonių skyrimo ir išrašymo pagrįstumo kontrolė</w:t>
            </w:r>
          </w:p>
        </w:tc>
        <w:tc>
          <w:tcPr>
            <w:tcW w:w="1669" w:type="dxa"/>
          </w:tcPr>
          <w:p w14:paraId="7DF4E43F" w14:textId="2E1256C5"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13,9</w:t>
            </w:r>
          </w:p>
        </w:tc>
        <w:tc>
          <w:tcPr>
            <w:tcW w:w="1695" w:type="dxa"/>
          </w:tcPr>
          <w:p w14:paraId="3953EF51" w14:textId="3378CF31" w:rsidR="00656366" w:rsidRPr="00A05A7F"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05A7F">
              <w:rPr>
                <w:rFonts w:ascii="Times New Roman" w:hAnsi="Times New Roman" w:cs="Times New Roman"/>
                <w:b/>
                <w:bCs/>
                <w:sz w:val="20"/>
                <w:szCs w:val="20"/>
              </w:rPr>
              <w:t>531,18</w:t>
            </w:r>
          </w:p>
        </w:tc>
        <w:tc>
          <w:tcPr>
            <w:tcW w:w="1695" w:type="dxa"/>
          </w:tcPr>
          <w:p w14:paraId="7F315203" w14:textId="74F4C6E7" w:rsidR="00530D9B" w:rsidRPr="00A05A7F" w:rsidRDefault="00530D9B"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05A7F">
              <w:rPr>
                <w:rFonts w:ascii="Times New Roman" w:hAnsi="Times New Roman" w:cs="Times New Roman"/>
                <w:b/>
                <w:bCs/>
                <w:sz w:val="20"/>
                <w:szCs w:val="20"/>
              </w:rPr>
              <w:t>0,01</w:t>
            </w:r>
          </w:p>
        </w:tc>
      </w:tr>
      <w:tr w:rsidR="00395939" w:rsidRPr="00395939" w14:paraId="09592329" w14:textId="489F32AC"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1A6BE80F" w14:textId="16B0EC11"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16.</w:t>
            </w:r>
          </w:p>
        </w:tc>
        <w:tc>
          <w:tcPr>
            <w:tcW w:w="3732" w:type="dxa"/>
          </w:tcPr>
          <w:p w14:paraId="38B244AB" w14:textId="3A0B65EA"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kern w:val="24"/>
                <w:sz w:val="20"/>
                <w:szCs w:val="20"/>
              </w:rPr>
              <w:t xml:space="preserve">Kompensuojamųjų vaistų ir medicinos pagalbos priemonių išdavimo (pardavimo) vaistinėje teisėtumo kontrolė </w:t>
            </w:r>
          </w:p>
        </w:tc>
        <w:tc>
          <w:tcPr>
            <w:tcW w:w="1669" w:type="dxa"/>
          </w:tcPr>
          <w:p w14:paraId="06DA8FBF" w14:textId="19278188"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395939">
              <w:rPr>
                <w:rFonts w:ascii="Times New Roman" w:hAnsi="Times New Roman" w:cs="Times New Roman"/>
                <w:sz w:val="20"/>
                <w:szCs w:val="20"/>
              </w:rPr>
              <w:t>0,07</w:t>
            </w:r>
          </w:p>
        </w:tc>
        <w:tc>
          <w:tcPr>
            <w:tcW w:w="1695" w:type="dxa"/>
          </w:tcPr>
          <w:p w14:paraId="70E516F9" w14:textId="6409744A"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0,36</w:t>
            </w:r>
          </w:p>
        </w:tc>
        <w:tc>
          <w:tcPr>
            <w:tcW w:w="1695" w:type="dxa"/>
          </w:tcPr>
          <w:p w14:paraId="09FDECAE" w14:textId="6D7F7258" w:rsidR="00530D9B" w:rsidRPr="00D61892" w:rsidRDefault="00530D9B"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892">
              <w:rPr>
                <w:rFonts w:ascii="Times New Roman" w:hAnsi="Times New Roman" w:cs="Times New Roman"/>
                <w:sz w:val="20"/>
                <w:szCs w:val="20"/>
              </w:rPr>
              <w:t>0</w:t>
            </w:r>
          </w:p>
        </w:tc>
      </w:tr>
      <w:tr w:rsidR="00395939" w:rsidRPr="006639C7" w14:paraId="6825DA4A" w14:textId="475C3D15"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7CAE6012" w14:textId="3646064E"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17.</w:t>
            </w:r>
          </w:p>
        </w:tc>
        <w:tc>
          <w:tcPr>
            <w:tcW w:w="3732" w:type="dxa"/>
          </w:tcPr>
          <w:p w14:paraId="48A87A64" w14:textId="625195A0"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0"/>
                <w:szCs w:val="20"/>
              </w:rPr>
            </w:pPr>
            <w:r w:rsidRPr="00395939">
              <w:rPr>
                <w:rFonts w:ascii="Times New Roman" w:hAnsi="Times New Roman" w:cs="Times New Roman"/>
                <w:kern w:val="24"/>
                <w:sz w:val="20"/>
                <w:szCs w:val="20"/>
              </w:rPr>
              <w:t>Kompensuojamųjų ortopedijos techninių priemonių kontrolė</w:t>
            </w:r>
          </w:p>
        </w:tc>
        <w:tc>
          <w:tcPr>
            <w:tcW w:w="1669" w:type="dxa"/>
          </w:tcPr>
          <w:p w14:paraId="08E95B55" w14:textId="2B5C257F"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8,8</w:t>
            </w:r>
          </w:p>
        </w:tc>
        <w:tc>
          <w:tcPr>
            <w:tcW w:w="1695" w:type="dxa"/>
          </w:tcPr>
          <w:p w14:paraId="1FE5C3B3" w14:textId="44B8DEE4"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9,37</w:t>
            </w:r>
          </w:p>
        </w:tc>
        <w:tc>
          <w:tcPr>
            <w:tcW w:w="1695" w:type="dxa"/>
          </w:tcPr>
          <w:p w14:paraId="74C370F6" w14:textId="4D527F7F" w:rsidR="00530D9B" w:rsidRPr="00D61892" w:rsidRDefault="00530D9B"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892">
              <w:rPr>
                <w:rFonts w:ascii="Times New Roman" w:hAnsi="Times New Roman" w:cs="Times New Roman"/>
                <w:sz w:val="20"/>
                <w:szCs w:val="20"/>
              </w:rPr>
              <w:t>0</w:t>
            </w:r>
          </w:p>
        </w:tc>
      </w:tr>
      <w:tr w:rsidR="00395939" w:rsidRPr="00395939" w14:paraId="2607CDF5" w14:textId="20D6BE06"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0F37F74D" w14:textId="56E4ADFD"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18.</w:t>
            </w:r>
          </w:p>
        </w:tc>
        <w:tc>
          <w:tcPr>
            <w:tcW w:w="3732" w:type="dxa"/>
          </w:tcPr>
          <w:p w14:paraId="7116ECC2" w14:textId="6EE6103C"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0"/>
                <w:szCs w:val="20"/>
              </w:rPr>
            </w:pPr>
            <w:r w:rsidRPr="00395939">
              <w:rPr>
                <w:rFonts w:ascii="Times New Roman" w:hAnsi="Times New Roman" w:cs="Times New Roman"/>
                <w:sz w:val="20"/>
                <w:szCs w:val="20"/>
              </w:rPr>
              <w:t>Kompensuojamųjų nuomojamų medicinos priemonių ir medicinos priemonių (prietaisų), būtinų sveikatos priežiūrai namuose užtikrinti, skyrimo teisėtumo kontrolė</w:t>
            </w:r>
          </w:p>
        </w:tc>
        <w:tc>
          <w:tcPr>
            <w:tcW w:w="1669" w:type="dxa"/>
          </w:tcPr>
          <w:p w14:paraId="002EFF61" w14:textId="323D87A2"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0</w:t>
            </w:r>
          </w:p>
        </w:tc>
        <w:tc>
          <w:tcPr>
            <w:tcW w:w="1695" w:type="dxa"/>
          </w:tcPr>
          <w:p w14:paraId="7F979136" w14:textId="28E3EB91"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0</w:t>
            </w:r>
          </w:p>
        </w:tc>
        <w:tc>
          <w:tcPr>
            <w:tcW w:w="1695" w:type="dxa"/>
          </w:tcPr>
          <w:p w14:paraId="1ADCD0CB" w14:textId="70F209C5" w:rsidR="00530D9B" w:rsidRPr="00D61892" w:rsidRDefault="00530D9B"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892">
              <w:rPr>
                <w:rFonts w:ascii="Times New Roman" w:hAnsi="Times New Roman" w:cs="Times New Roman"/>
                <w:sz w:val="20"/>
                <w:szCs w:val="20"/>
              </w:rPr>
              <w:t>0</w:t>
            </w:r>
          </w:p>
        </w:tc>
      </w:tr>
      <w:tr w:rsidR="00395939" w:rsidRPr="006639C7" w14:paraId="762348EB" w14:textId="624C919C" w:rsidTr="004556FC">
        <w:trPr>
          <w:trHeight w:val="20"/>
        </w:trPr>
        <w:tc>
          <w:tcPr>
            <w:cnfStyle w:val="001000000000" w:firstRow="0" w:lastRow="0" w:firstColumn="1" w:lastColumn="0" w:oddVBand="0" w:evenVBand="0" w:oddHBand="0" w:evenHBand="0" w:firstRowFirstColumn="0" w:firstRowLastColumn="0" w:lastRowFirstColumn="0" w:lastRowLastColumn="0"/>
            <w:tcW w:w="837" w:type="dxa"/>
          </w:tcPr>
          <w:p w14:paraId="3B292FF0" w14:textId="27C84CCB" w:rsidR="00656366" w:rsidRPr="00395939" w:rsidRDefault="00656366" w:rsidP="00656366">
            <w:pPr>
              <w:jc w:val="center"/>
              <w:rPr>
                <w:rFonts w:ascii="Times New Roman" w:hAnsi="Times New Roman" w:cs="Times New Roman"/>
                <w:b w:val="0"/>
                <w:bCs w:val="0"/>
                <w:sz w:val="20"/>
                <w:szCs w:val="20"/>
              </w:rPr>
            </w:pPr>
            <w:r w:rsidRPr="00395939">
              <w:rPr>
                <w:rFonts w:ascii="Times New Roman" w:hAnsi="Times New Roman" w:cs="Times New Roman"/>
                <w:b w:val="0"/>
                <w:bCs w:val="0"/>
                <w:sz w:val="20"/>
                <w:szCs w:val="20"/>
              </w:rPr>
              <w:t>19.</w:t>
            </w:r>
          </w:p>
        </w:tc>
        <w:tc>
          <w:tcPr>
            <w:tcW w:w="3732" w:type="dxa"/>
          </w:tcPr>
          <w:p w14:paraId="3620DA96" w14:textId="5428C5F9" w:rsidR="00656366" w:rsidRPr="00395939" w:rsidRDefault="00656366" w:rsidP="00656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0"/>
                <w:szCs w:val="20"/>
              </w:rPr>
            </w:pPr>
            <w:r w:rsidRPr="00395939">
              <w:rPr>
                <w:rFonts w:ascii="Times New Roman" w:hAnsi="Times New Roman" w:cs="Times New Roman"/>
                <w:kern w:val="24"/>
                <w:sz w:val="20"/>
                <w:szCs w:val="20"/>
              </w:rPr>
              <w:t>Centralizuotai apmokamų vaistų ir medicinos pagalbos priemonių skyrimo kontrolė / kitos paslaugos</w:t>
            </w:r>
          </w:p>
        </w:tc>
        <w:tc>
          <w:tcPr>
            <w:tcW w:w="1669" w:type="dxa"/>
          </w:tcPr>
          <w:p w14:paraId="1B91A326" w14:textId="66909F35"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395939">
              <w:rPr>
                <w:rFonts w:ascii="Times New Roman" w:hAnsi="Times New Roman" w:cs="Times New Roman"/>
                <w:sz w:val="20"/>
                <w:szCs w:val="20"/>
              </w:rPr>
              <w:t>5,4</w:t>
            </w:r>
          </w:p>
        </w:tc>
        <w:tc>
          <w:tcPr>
            <w:tcW w:w="1695" w:type="dxa"/>
          </w:tcPr>
          <w:p w14:paraId="5883C47C" w14:textId="19ABD941" w:rsidR="00656366" w:rsidRPr="00395939" w:rsidRDefault="00656366"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5939">
              <w:rPr>
                <w:rFonts w:ascii="Times New Roman" w:hAnsi="Times New Roman" w:cs="Times New Roman"/>
                <w:sz w:val="20"/>
                <w:szCs w:val="20"/>
              </w:rPr>
              <w:t>0</w:t>
            </w:r>
          </w:p>
        </w:tc>
        <w:tc>
          <w:tcPr>
            <w:tcW w:w="1695" w:type="dxa"/>
          </w:tcPr>
          <w:p w14:paraId="3FA67FEB" w14:textId="106DB438" w:rsidR="00530D9B" w:rsidRPr="00D61892" w:rsidRDefault="00530D9B" w:rsidP="006563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892">
              <w:rPr>
                <w:rFonts w:ascii="Times New Roman" w:hAnsi="Times New Roman" w:cs="Times New Roman"/>
                <w:sz w:val="20"/>
                <w:szCs w:val="20"/>
              </w:rPr>
              <w:t>0</w:t>
            </w:r>
          </w:p>
        </w:tc>
      </w:tr>
      <w:bookmarkEnd w:id="3"/>
    </w:tbl>
    <w:p w14:paraId="5289931B" w14:textId="77777777" w:rsidR="002E18C3" w:rsidRPr="00661D65" w:rsidRDefault="002E18C3" w:rsidP="00B80D57">
      <w:pPr>
        <w:tabs>
          <w:tab w:val="left" w:pos="709"/>
          <w:tab w:val="left" w:pos="3402"/>
        </w:tabs>
        <w:spacing w:after="0" w:line="240" w:lineRule="auto"/>
        <w:jc w:val="both"/>
        <w:rPr>
          <w:rFonts w:ascii="Times New Roman" w:hAnsi="Times New Roman" w:cs="Times New Roman"/>
          <w:sz w:val="24"/>
          <w:szCs w:val="24"/>
        </w:rPr>
      </w:pPr>
    </w:p>
    <w:p w14:paraId="47FF7C72" w14:textId="76407354" w:rsidR="005053FE" w:rsidRPr="00661D65" w:rsidRDefault="005053FE" w:rsidP="00E43383">
      <w:pPr>
        <w:tabs>
          <w:tab w:val="left" w:pos="3402"/>
        </w:tabs>
        <w:spacing w:after="0" w:line="240" w:lineRule="auto"/>
        <w:ind w:firstLine="851"/>
        <w:jc w:val="both"/>
        <w:rPr>
          <w:rFonts w:ascii="Times New Roman" w:hAnsi="Times New Roman" w:cs="Times New Roman"/>
          <w:color w:val="000000"/>
          <w:sz w:val="24"/>
          <w:szCs w:val="24"/>
          <w:highlight w:val="yellow"/>
        </w:rPr>
      </w:pPr>
      <w:r w:rsidRPr="00661D65">
        <w:rPr>
          <w:rFonts w:ascii="Times New Roman" w:hAnsi="Times New Roman" w:cs="Times New Roman"/>
          <w:sz w:val="24"/>
          <w:szCs w:val="24"/>
        </w:rPr>
        <w:t>Ūkio subjektų</w:t>
      </w:r>
      <w:r w:rsidR="004B3C6D" w:rsidRPr="00661D65">
        <w:rPr>
          <w:rFonts w:ascii="Times New Roman" w:hAnsi="Times New Roman" w:cs="Times New Roman"/>
          <w:sz w:val="24"/>
          <w:szCs w:val="24"/>
        </w:rPr>
        <w:t>,</w:t>
      </w:r>
      <w:r w:rsidRPr="00661D65">
        <w:rPr>
          <w:rFonts w:ascii="Times New Roman" w:hAnsi="Times New Roman" w:cs="Times New Roman"/>
          <w:sz w:val="24"/>
          <w:szCs w:val="24"/>
        </w:rPr>
        <w:t xml:space="preserve"> sudariusių sutartis su VLK ar TLK, veiklos priežiūros efektyvumas (rezultatyvumas) vertinamas pagal </w:t>
      </w:r>
      <w:r w:rsidR="003014C7" w:rsidRPr="00661D65">
        <w:rPr>
          <w:rFonts w:ascii="Times New Roman" w:hAnsi="Times New Roman" w:cs="Times New Roman"/>
          <w:sz w:val="24"/>
          <w:szCs w:val="24"/>
        </w:rPr>
        <w:t>Aprašo</w:t>
      </w:r>
      <w:r w:rsidR="00B24A0F" w:rsidRPr="00157C0B">
        <w:rPr>
          <w:rFonts w:ascii="Times New Roman" w:hAnsi="Times New Roman" w:cs="Times New Roman"/>
          <w:bCs/>
          <w:sz w:val="24"/>
          <w:szCs w:val="24"/>
        </w:rPr>
        <w:t xml:space="preserve"> 4 priede</w:t>
      </w:r>
      <w:r w:rsidRPr="00661D65">
        <w:rPr>
          <w:rFonts w:ascii="Times New Roman" w:hAnsi="Times New Roman" w:cs="Times New Roman"/>
          <w:sz w:val="24"/>
          <w:szCs w:val="24"/>
        </w:rPr>
        <w:t xml:space="preserve"> </w:t>
      </w:r>
      <w:r w:rsidR="0000772B" w:rsidRPr="00661D65">
        <w:rPr>
          <w:rFonts w:ascii="Times New Roman" w:hAnsi="Times New Roman" w:cs="Times New Roman"/>
          <w:sz w:val="24"/>
          <w:szCs w:val="24"/>
        </w:rPr>
        <w:t>nustatytus</w:t>
      </w:r>
      <w:r w:rsidRPr="00661D65">
        <w:rPr>
          <w:rFonts w:ascii="Times New Roman" w:hAnsi="Times New Roman" w:cs="Times New Roman"/>
          <w:sz w:val="24"/>
          <w:szCs w:val="24"/>
        </w:rPr>
        <w:t xml:space="preserve"> įstaigų ir įmonių veiklos priežiūros </w:t>
      </w:r>
      <w:bookmarkStart w:id="4" w:name="_Hlk132884493"/>
      <w:r w:rsidRPr="00661D65">
        <w:rPr>
          <w:rFonts w:ascii="Times New Roman" w:hAnsi="Times New Roman" w:cs="Times New Roman"/>
          <w:sz w:val="24"/>
          <w:szCs w:val="24"/>
        </w:rPr>
        <w:t>stebėsenos, efektyvumo (rezultatyvumo) matavimo ir vertinimo rodiklius</w:t>
      </w:r>
      <w:bookmarkEnd w:id="4"/>
      <w:r w:rsidRPr="00661D65">
        <w:rPr>
          <w:rFonts w:ascii="Times New Roman" w:hAnsi="Times New Roman" w:cs="Times New Roman"/>
          <w:sz w:val="24"/>
          <w:szCs w:val="24"/>
        </w:rPr>
        <w:t xml:space="preserve">. </w:t>
      </w:r>
    </w:p>
    <w:p w14:paraId="2F55F2DD" w14:textId="046BB517" w:rsidR="005053FE" w:rsidRDefault="00DB2349" w:rsidP="00DB2349">
      <w:pPr>
        <w:pStyle w:val="Default"/>
        <w:ind w:firstLine="851"/>
        <w:jc w:val="both"/>
      </w:pPr>
      <w:r>
        <w:rPr>
          <w:b/>
          <w:bCs/>
        </w:rPr>
        <w:t xml:space="preserve">1. </w:t>
      </w:r>
      <w:r w:rsidR="005053FE" w:rsidRPr="00A2596E">
        <w:rPr>
          <w:b/>
          <w:bCs/>
        </w:rPr>
        <w:t>Ve</w:t>
      </w:r>
      <w:r w:rsidR="005053FE" w:rsidRPr="00A2596E">
        <w:rPr>
          <w:b/>
        </w:rPr>
        <w:t>rtinamuoju laikotarpiu</w:t>
      </w:r>
      <w:r w:rsidR="005053FE" w:rsidRPr="00661D65">
        <w:rPr>
          <w:b/>
        </w:rPr>
        <w:t xml:space="preserve"> TLK atlik</w:t>
      </w:r>
      <w:r w:rsidR="005053FE" w:rsidRPr="00A2596E">
        <w:rPr>
          <w:b/>
        </w:rPr>
        <w:t>tų</w:t>
      </w:r>
      <w:r w:rsidR="005053FE" w:rsidRPr="00661D65">
        <w:rPr>
          <w:b/>
        </w:rPr>
        <w:t xml:space="preserve"> kontrolės procedūrų metu nustatytos žalos </w:t>
      </w:r>
      <w:r w:rsidR="005053FE" w:rsidRPr="00A2596E">
        <w:rPr>
          <w:b/>
        </w:rPr>
        <w:t xml:space="preserve">PSDF biudžetui ir tam pačiam laikotarpiui skirtų TLK biudžeto lėšų asmens sveikatos priežiūros, medicininės reabilitacijos ir sanatorinio gydymo paslaugoms bei vaistams ir </w:t>
      </w:r>
      <w:r w:rsidR="00E87098" w:rsidRPr="00A2596E">
        <w:rPr>
          <w:b/>
        </w:rPr>
        <w:t>medicinos pagalbos priemonėms</w:t>
      </w:r>
      <w:r w:rsidR="005053FE" w:rsidRPr="00A2596E">
        <w:rPr>
          <w:b/>
        </w:rPr>
        <w:t xml:space="preserve"> santykis (proc</w:t>
      </w:r>
      <w:r w:rsidR="005053FE" w:rsidRPr="00661D65">
        <w:rPr>
          <w:b/>
        </w:rPr>
        <w:t>.)</w:t>
      </w:r>
      <w:r w:rsidR="005053FE" w:rsidRPr="00157C0B">
        <w:t xml:space="preserve"> (toliau – nustatyta žala). Siekiama perspektyvinio nustatytos žalos PSDF biudžetui mažėjimo, palyginti su ankstesnių metų rezultatu. </w:t>
      </w:r>
      <w:r w:rsidR="00583854" w:rsidRPr="00157C0B">
        <w:t xml:space="preserve">Nustatyta </w:t>
      </w:r>
      <w:r w:rsidR="00A2596E">
        <w:t xml:space="preserve">2024 m. </w:t>
      </w:r>
      <w:r w:rsidR="00583854" w:rsidRPr="00157C0B">
        <w:t>rodiklio reikšmė</w:t>
      </w:r>
      <w:r w:rsidR="00A2596E">
        <w:t xml:space="preserve"> pagal atliktų kontrolės procedūrų </w:t>
      </w:r>
      <w:r w:rsidR="00215E2E">
        <w:t>kartu su SNV</w:t>
      </w:r>
      <w:r w:rsidR="00A2596E" w:rsidRPr="00A2596E">
        <w:t xml:space="preserve"> procedūrų</w:t>
      </w:r>
      <w:r w:rsidR="00A2596E">
        <w:t xml:space="preserve"> </w:t>
      </w:r>
      <w:r w:rsidR="00A2596E" w:rsidRPr="00A2596E">
        <w:t>metu nustatytos žalos PSDF biudžetui dyd</w:t>
      </w:r>
      <w:r w:rsidR="007303BB">
        <w:t>į</w:t>
      </w:r>
      <w:r w:rsidR="00A2596E">
        <w:t xml:space="preserve">, </w:t>
      </w:r>
      <w:r w:rsidR="00D70537" w:rsidRPr="00157C0B">
        <w:t>pa</w:t>
      </w:r>
      <w:r w:rsidR="00583854" w:rsidRPr="00157C0B">
        <w:t>lygin</w:t>
      </w:r>
      <w:r w:rsidR="00D70537" w:rsidRPr="00157C0B">
        <w:t>ti</w:t>
      </w:r>
      <w:r w:rsidR="00583854" w:rsidRPr="00157C0B">
        <w:t xml:space="preserve"> su </w:t>
      </w:r>
      <w:r w:rsidR="00A2596E" w:rsidRPr="00157C0B">
        <w:t>202</w:t>
      </w:r>
      <w:r w:rsidR="00A2596E">
        <w:t>3</w:t>
      </w:r>
      <w:r w:rsidR="00501D52">
        <w:t> </w:t>
      </w:r>
      <w:r w:rsidR="00583854" w:rsidRPr="00157C0B">
        <w:t>m.</w:t>
      </w:r>
      <w:r w:rsidR="00D70537" w:rsidRPr="00157C0B">
        <w:t>,</w:t>
      </w:r>
      <w:r w:rsidR="00583854" w:rsidRPr="00157C0B">
        <w:t xml:space="preserve"> </w:t>
      </w:r>
      <w:r w:rsidR="007F0120" w:rsidRPr="00661D65">
        <w:t xml:space="preserve">sumažėjo </w:t>
      </w:r>
      <w:r w:rsidR="00496B35" w:rsidRPr="00661D65">
        <w:t>– ji</w:t>
      </w:r>
      <w:r w:rsidR="00583854" w:rsidRPr="00661D65">
        <w:t xml:space="preserve"> siekė 0,</w:t>
      </w:r>
      <w:r w:rsidR="000013E5" w:rsidRPr="00661D65">
        <w:t>0</w:t>
      </w:r>
      <w:r w:rsidR="00834DFC" w:rsidRPr="00661D65">
        <w:t>7</w:t>
      </w:r>
      <w:r w:rsidR="00A2596E" w:rsidRPr="00661D65">
        <w:t> </w:t>
      </w:r>
      <w:r w:rsidR="00583854" w:rsidRPr="00661D65">
        <w:t>proc</w:t>
      </w:r>
      <w:r w:rsidR="001D5998" w:rsidRPr="00661D65">
        <w:t>.</w:t>
      </w:r>
      <w:r w:rsidR="00583854" w:rsidRPr="00157C0B">
        <w:t xml:space="preserve"> </w:t>
      </w:r>
      <w:r w:rsidR="00BD071D" w:rsidRPr="00157C0B">
        <w:t>(</w:t>
      </w:r>
      <w:r w:rsidR="00A2596E" w:rsidRPr="00157C0B">
        <w:t>202</w:t>
      </w:r>
      <w:r w:rsidR="00A2596E">
        <w:t>3 </w:t>
      </w:r>
      <w:r w:rsidR="00820E82" w:rsidRPr="00157C0B">
        <w:t>m. buvo 0,</w:t>
      </w:r>
      <w:r w:rsidR="00A2596E">
        <w:t>15</w:t>
      </w:r>
      <w:r w:rsidR="00A2596E" w:rsidRPr="00157C0B">
        <w:t xml:space="preserve"> </w:t>
      </w:r>
      <w:r w:rsidR="00820E82" w:rsidRPr="00157C0B">
        <w:t>procento</w:t>
      </w:r>
      <w:r w:rsidR="00BD071D" w:rsidRPr="00157C0B">
        <w:t>)</w:t>
      </w:r>
      <w:r w:rsidR="00820E82" w:rsidRPr="00157C0B">
        <w:t>.</w:t>
      </w:r>
    </w:p>
    <w:p w14:paraId="69F4C07D" w14:textId="1D27D51B" w:rsidR="00501D52" w:rsidRPr="00BB4416" w:rsidRDefault="00DB2349" w:rsidP="00DB2349">
      <w:pPr>
        <w:spacing w:after="0" w:line="240" w:lineRule="auto"/>
        <w:ind w:firstLine="851"/>
        <w:jc w:val="both"/>
        <w:rPr>
          <w:rFonts w:ascii="Times New Roman" w:hAnsi="Times New Roman" w:cs="Times New Roman"/>
        </w:rPr>
      </w:pPr>
      <w:r>
        <w:rPr>
          <w:rFonts w:ascii="Times New Roman" w:hAnsi="Times New Roman" w:cs="Times New Roman"/>
          <w:b/>
          <w:bCs/>
          <w:sz w:val="24"/>
          <w:szCs w:val="24"/>
        </w:rPr>
        <w:t xml:space="preserve">2. </w:t>
      </w:r>
      <w:r w:rsidR="005053FE" w:rsidRPr="00DB2349">
        <w:rPr>
          <w:rFonts w:ascii="Times New Roman" w:hAnsi="Times New Roman" w:cs="Times New Roman"/>
          <w:b/>
          <w:bCs/>
          <w:sz w:val="24"/>
          <w:szCs w:val="24"/>
        </w:rPr>
        <w:t xml:space="preserve">PSDF </w:t>
      </w:r>
      <w:r w:rsidR="00003692" w:rsidRPr="00DB2349">
        <w:rPr>
          <w:rFonts w:ascii="Times New Roman" w:eastAsiaTheme="majorEastAsia" w:hAnsi="Times New Roman" w:cs="Times New Roman"/>
          <w:b/>
          <w:bCs/>
          <w:kern w:val="24"/>
          <w:sz w:val="24"/>
          <w:szCs w:val="24"/>
        </w:rPr>
        <w:t xml:space="preserve">biudžeto išlaidų asmens sveikatos priežiūros, medicininės reabilitacijos ir sanatorinio gydymo paslaugoms pokyčio, susidariusio dėl vertinamuoju laikotarpiu atliktų </w:t>
      </w:r>
      <w:r w:rsidR="00003692" w:rsidRPr="00DB2349">
        <w:rPr>
          <w:rFonts w:ascii="Times New Roman" w:eastAsiaTheme="majorEastAsia" w:hAnsi="Times New Roman" w:cs="Times New Roman"/>
          <w:b/>
          <w:bCs/>
          <w:kern w:val="24"/>
          <w:sz w:val="24"/>
          <w:szCs w:val="24"/>
        </w:rPr>
        <w:lastRenderedPageBreak/>
        <w:t>statistinių kortelių – formos Nr.</w:t>
      </w:r>
      <w:r w:rsidR="00823DB5" w:rsidRPr="00DB2349">
        <w:rPr>
          <w:rFonts w:ascii="Times New Roman" w:eastAsiaTheme="majorEastAsia" w:hAnsi="Times New Roman" w:cs="Times New Roman"/>
          <w:b/>
          <w:bCs/>
          <w:kern w:val="24"/>
          <w:sz w:val="24"/>
          <w:szCs w:val="24"/>
        </w:rPr>
        <w:t> </w:t>
      </w:r>
      <w:r w:rsidR="00003692" w:rsidRPr="00DB2349">
        <w:rPr>
          <w:rFonts w:ascii="Times New Roman" w:eastAsiaTheme="majorEastAsia" w:hAnsi="Times New Roman" w:cs="Times New Roman"/>
          <w:b/>
          <w:bCs/>
          <w:kern w:val="24"/>
          <w:sz w:val="24"/>
          <w:szCs w:val="24"/>
        </w:rPr>
        <w:t>066/a-LK ir formos Nr.</w:t>
      </w:r>
      <w:r w:rsidR="00823DB5" w:rsidRPr="00DB2349">
        <w:rPr>
          <w:rFonts w:ascii="Times New Roman" w:eastAsiaTheme="majorEastAsia" w:hAnsi="Times New Roman" w:cs="Times New Roman"/>
          <w:b/>
          <w:bCs/>
          <w:kern w:val="24"/>
          <w:sz w:val="24"/>
          <w:szCs w:val="24"/>
        </w:rPr>
        <w:t> </w:t>
      </w:r>
      <w:r w:rsidR="00003692" w:rsidRPr="00DB2349">
        <w:rPr>
          <w:rFonts w:ascii="Times New Roman" w:eastAsiaTheme="majorEastAsia" w:hAnsi="Times New Roman" w:cs="Times New Roman"/>
          <w:b/>
          <w:bCs/>
          <w:kern w:val="24"/>
          <w:sz w:val="24"/>
          <w:szCs w:val="24"/>
        </w:rPr>
        <w:t xml:space="preserve">025/a-LK – patikslinimų (IS „Sveidra“ duomenimis), ir TLK biudžeto lėšų, skirtų šioms paslaugoms, santykis (proc.) </w:t>
      </w:r>
      <w:r w:rsidR="005053FE" w:rsidRPr="00DB2349">
        <w:rPr>
          <w:rFonts w:ascii="Times New Roman" w:hAnsi="Times New Roman" w:cs="Times New Roman"/>
          <w:b/>
          <w:bCs/>
          <w:sz w:val="24"/>
          <w:szCs w:val="24"/>
        </w:rPr>
        <w:t>ataskaitinių metų pabaigoje</w:t>
      </w:r>
      <w:r w:rsidR="005053FE" w:rsidRPr="00DB2349">
        <w:rPr>
          <w:rFonts w:ascii="Times New Roman" w:hAnsi="Times New Roman" w:cs="Times New Roman"/>
          <w:sz w:val="24"/>
          <w:szCs w:val="24"/>
        </w:rPr>
        <w:t xml:space="preserve"> (toliau – išvengta žala). Siekiama perspektyvinio šio rodiklio reikšmės didėjimo, palyginti su ankstesnių metų rezultatu.</w:t>
      </w:r>
      <w:r w:rsidR="00EE6C36" w:rsidRPr="00DB2349">
        <w:rPr>
          <w:rFonts w:ascii="Times New Roman" w:hAnsi="Times New Roman" w:cs="Times New Roman"/>
          <w:sz w:val="24"/>
          <w:szCs w:val="24"/>
        </w:rPr>
        <w:t xml:space="preserve"> Bendra </w:t>
      </w:r>
      <w:r w:rsidR="002271BA">
        <w:rPr>
          <w:rFonts w:ascii="Times New Roman" w:hAnsi="Times New Roman" w:cs="Times New Roman"/>
          <w:sz w:val="24"/>
          <w:szCs w:val="24"/>
        </w:rPr>
        <w:t>rodiklio</w:t>
      </w:r>
      <w:r w:rsidR="00EE6C36" w:rsidRPr="00DB2349">
        <w:rPr>
          <w:rFonts w:ascii="Times New Roman" w:hAnsi="Times New Roman" w:cs="Times New Roman"/>
          <w:sz w:val="24"/>
          <w:szCs w:val="24"/>
        </w:rPr>
        <w:t xml:space="preserve"> reikšmė </w:t>
      </w:r>
      <w:r w:rsidR="0044407A" w:rsidRPr="00DB2349">
        <w:rPr>
          <w:rFonts w:ascii="Times New Roman" w:hAnsi="Times New Roman" w:cs="Times New Roman"/>
          <w:sz w:val="24"/>
          <w:szCs w:val="24"/>
        </w:rPr>
        <w:t>2024 </w:t>
      </w:r>
      <w:r w:rsidR="00EE6C36" w:rsidRPr="00DB2349">
        <w:rPr>
          <w:rFonts w:ascii="Times New Roman" w:hAnsi="Times New Roman" w:cs="Times New Roman"/>
          <w:sz w:val="24"/>
          <w:szCs w:val="24"/>
        </w:rPr>
        <w:t xml:space="preserve">m. </w:t>
      </w:r>
      <w:r w:rsidR="00563D95" w:rsidRPr="00DB2349">
        <w:rPr>
          <w:rFonts w:ascii="Times New Roman" w:hAnsi="Times New Roman" w:cs="Times New Roman"/>
          <w:sz w:val="24"/>
          <w:szCs w:val="24"/>
        </w:rPr>
        <w:t>buvo</w:t>
      </w:r>
      <w:r w:rsidR="00EE6C36" w:rsidRPr="00DB2349">
        <w:rPr>
          <w:rFonts w:ascii="Times New Roman" w:hAnsi="Times New Roman" w:cs="Times New Roman"/>
          <w:sz w:val="24"/>
          <w:szCs w:val="24"/>
        </w:rPr>
        <w:t xml:space="preserve"> </w:t>
      </w:r>
      <w:r w:rsidR="00107289" w:rsidRPr="00DB2349">
        <w:rPr>
          <w:rFonts w:ascii="Times New Roman" w:hAnsi="Times New Roman" w:cs="Times New Roman"/>
          <w:sz w:val="24"/>
          <w:szCs w:val="24"/>
        </w:rPr>
        <w:t>0,</w:t>
      </w:r>
      <w:r w:rsidR="00107289" w:rsidRPr="00BB4416">
        <w:rPr>
          <w:rFonts w:ascii="Times New Roman" w:hAnsi="Times New Roman" w:cs="Times New Roman"/>
          <w:sz w:val="24"/>
          <w:szCs w:val="24"/>
        </w:rPr>
        <w:t>2</w:t>
      </w:r>
      <w:r w:rsidR="00A05A7F">
        <w:rPr>
          <w:rFonts w:ascii="Times New Roman" w:hAnsi="Times New Roman" w:cs="Times New Roman"/>
          <w:sz w:val="24"/>
          <w:szCs w:val="24"/>
        </w:rPr>
        <w:t>4</w:t>
      </w:r>
      <w:r w:rsidR="0044407A" w:rsidRPr="00DB2349">
        <w:rPr>
          <w:rFonts w:ascii="Times New Roman" w:hAnsi="Times New Roman" w:cs="Times New Roman"/>
          <w:sz w:val="24"/>
          <w:szCs w:val="24"/>
        </w:rPr>
        <w:t> </w:t>
      </w:r>
      <w:r w:rsidR="00EE6C36" w:rsidRPr="00DB2349">
        <w:rPr>
          <w:rFonts w:ascii="Times New Roman" w:hAnsi="Times New Roman" w:cs="Times New Roman"/>
          <w:sz w:val="24"/>
          <w:szCs w:val="24"/>
        </w:rPr>
        <w:t>proc.</w:t>
      </w:r>
      <w:r w:rsidR="00BE53BA" w:rsidRPr="00DB2349">
        <w:rPr>
          <w:rFonts w:ascii="Times New Roman" w:hAnsi="Times New Roman" w:cs="Times New Roman"/>
          <w:sz w:val="24"/>
          <w:szCs w:val="24"/>
        </w:rPr>
        <w:t xml:space="preserve">, </w:t>
      </w:r>
      <w:r w:rsidR="0044407A" w:rsidRPr="00DB2349">
        <w:rPr>
          <w:rFonts w:ascii="Times New Roman" w:hAnsi="Times New Roman" w:cs="Times New Roman"/>
          <w:sz w:val="24"/>
          <w:szCs w:val="24"/>
        </w:rPr>
        <w:t xml:space="preserve">2023 m. – 0,59 proc., o </w:t>
      </w:r>
      <w:r w:rsidR="00BE53BA" w:rsidRPr="00DB2349">
        <w:rPr>
          <w:rFonts w:ascii="Times New Roman" w:hAnsi="Times New Roman" w:cs="Times New Roman"/>
          <w:sz w:val="24"/>
          <w:szCs w:val="24"/>
        </w:rPr>
        <w:t>20</w:t>
      </w:r>
      <w:r w:rsidR="005257CE" w:rsidRPr="00DB2349">
        <w:rPr>
          <w:rFonts w:ascii="Times New Roman" w:hAnsi="Times New Roman" w:cs="Times New Roman"/>
          <w:sz w:val="24"/>
          <w:szCs w:val="24"/>
        </w:rPr>
        <w:t>2</w:t>
      </w:r>
      <w:r w:rsidR="00FA5ACB" w:rsidRPr="00DB2349">
        <w:rPr>
          <w:rFonts w:ascii="Times New Roman" w:hAnsi="Times New Roman" w:cs="Times New Roman"/>
          <w:sz w:val="24"/>
          <w:szCs w:val="24"/>
        </w:rPr>
        <w:t>2</w:t>
      </w:r>
      <w:r w:rsidR="0044407A" w:rsidRPr="00DB2349">
        <w:rPr>
          <w:rFonts w:ascii="Times New Roman" w:hAnsi="Times New Roman" w:cs="Times New Roman"/>
          <w:sz w:val="24"/>
          <w:szCs w:val="24"/>
        </w:rPr>
        <w:t> </w:t>
      </w:r>
      <w:r w:rsidR="00BE53BA" w:rsidRPr="00DB2349">
        <w:rPr>
          <w:rFonts w:ascii="Times New Roman" w:hAnsi="Times New Roman" w:cs="Times New Roman"/>
          <w:sz w:val="24"/>
          <w:szCs w:val="24"/>
        </w:rPr>
        <w:t>m. – 0,</w:t>
      </w:r>
      <w:r w:rsidR="00FA5ACB" w:rsidRPr="00DB2349">
        <w:rPr>
          <w:rFonts w:ascii="Times New Roman" w:hAnsi="Times New Roman" w:cs="Times New Roman"/>
          <w:sz w:val="24"/>
          <w:szCs w:val="24"/>
        </w:rPr>
        <w:t>1</w:t>
      </w:r>
      <w:r w:rsidR="0044407A" w:rsidRPr="00DB2349">
        <w:rPr>
          <w:rFonts w:ascii="Times New Roman" w:hAnsi="Times New Roman" w:cs="Times New Roman"/>
          <w:sz w:val="24"/>
          <w:szCs w:val="24"/>
        </w:rPr>
        <w:t> </w:t>
      </w:r>
      <w:r w:rsidR="00BE53BA" w:rsidRPr="00DB2349">
        <w:rPr>
          <w:rFonts w:ascii="Times New Roman" w:hAnsi="Times New Roman" w:cs="Times New Roman"/>
          <w:sz w:val="24"/>
          <w:szCs w:val="24"/>
        </w:rPr>
        <w:t>proc.</w:t>
      </w:r>
      <w:r w:rsidR="008E41DC" w:rsidRPr="00DB2349">
        <w:rPr>
          <w:rFonts w:ascii="Times New Roman" w:hAnsi="Times New Roman" w:cs="Times New Roman"/>
          <w:sz w:val="24"/>
          <w:szCs w:val="24"/>
        </w:rPr>
        <w:t xml:space="preserve"> </w:t>
      </w:r>
      <w:r w:rsidR="00973B23" w:rsidRPr="00DB2349">
        <w:rPr>
          <w:rFonts w:ascii="Times New Roman" w:hAnsi="Times New Roman" w:cs="Times New Roman"/>
          <w:sz w:val="24"/>
          <w:szCs w:val="24"/>
        </w:rPr>
        <w:t xml:space="preserve">(žr. </w:t>
      </w:r>
      <w:r w:rsidR="00A36A96" w:rsidRPr="00661D65">
        <w:rPr>
          <w:rFonts w:ascii="Times New Roman" w:hAnsi="Times New Roman" w:cs="Times New Roman"/>
          <w:sz w:val="24"/>
          <w:szCs w:val="24"/>
        </w:rPr>
        <w:t xml:space="preserve">6 </w:t>
      </w:r>
      <w:r w:rsidR="00973B23" w:rsidRPr="00DB2349">
        <w:rPr>
          <w:rFonts w:ascii="Times New Roman" w:hAnsi="Times New Roman" w:cs="Times New Roman"/>
          <w:sz w:val="24"/>
          <w:szCs w:val="24"/>
        </w:rPr>
        <w:t>paveikslą).</w:t>
      </w:r>
      <w:r w:rsidR="00915003" w:rsidRPr="00BB4416">
        <w:rPr>
          <w:rFonts w:ascii="Times New Roman" w:hAnsi="Times New Roman" w:cs="Times New Roman"/>
        </w:rPr>
        <w:t xml:space="preserve"> </w:t>
      </w:r>
    </w:p>
    <w:p w14:paraId="3B6CED6C" w14:textId="77777777" w:rsidR="00834DFC" w:rsidRPr="00BB4416" w:rsidRDefault="00834DFC" w:rsidP="00DB2349">
      <w:pPr>
        <w:spacing w:after="0" w:line="240" w:lineRule="auto"/>
        <w:ind w:firstLine="851"/>
        <w:jc w:val="both"/>
        <w:rPr>
          <w:rFonts w:ascii="Times New Roman" w:hAnsi="Times New Roman" w:cs="Times New Roman"/>
          <w:noProof/>
        </w:rPr>
      </w:pPr>
    </w:p>
    <w:p w14:paraId="27F5C128" w14:textId="35CFB47B" w:rsidR="00834DFC" w:rsidRPr="00661D65" w:rsidRDefault="00834DFC" w:rsidP="00834DFC">
      <w:pPr>
        <w:spacing w:after="0" w:line="240" w:lineRule="auto"/>
        <w:jc w:val="both"/>
        <w:rPr>
          <w:rFonts w:ascii="Times New Roman" w:hAnsi="Times New Roman" w:cs="Times New Roman"/>
        </w:rPr>
      </w:pPr>
      <w:r w:rsidRPr="00661D65">
        <w:rPr>
          <w:rFonts w:ascii="Times New Roman" w:hAnsi="Times New Roman" w:cs="Times New Roman"/>
          <w:noProof/>
        </w:rPr>
        <w:drawing>
          <wp:inline distT="0" distB="0" distL="0" distR="0" wp14:anchorId="7C4B9FEE" wp14:editId="4436B45B">
            <wp:extent cx="6120000" cy="2880000"/>
            <wp:effectExtent l="0" t="0" r="14605" b="15875"/>
            <wp:docPr id="79508170" name="Diagrama 1">
              <a:extLst xmlns:a="http://schemas.openxmlformats.org/drawingml/2006/main">
                <a:ext uri="{FF2B5EF4-FFF2-40B4-BE49-F238E27FC236}">
                  <a16:creationId xmlns:a16="http://schemas.microsoft.com/office/drawing/2014/main" id="{17F43EB9-36AC-F272-38F1-E121D9D0D5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DF5C71" w14:textId="27C312B0" w:rsidR="009B4993" w:rsidRPr="00661D65" w:rsidRDefault="00A36A96" w:rsidP="00C128D6">
      <w:pPr>
        <w:pStyle w:val="Sraopastraipa"/>
        <w:spacing w:after="0"/>
        <w:ind w:left="0"/>
        <w:rPr>
          <w:rFonts w:ascii="Times New Roman" w:hAnsi="Times New Roman" w:cs="Times New Roman"/>
          <w:i/>
        </w:rPr>
      </w:pPr>
      <w:bookmarkStart w:id="5" w:name="_Hlk66015665"/>
      <w:r w:rsidRPr="00661D65">
        <w:rPr>
          <w:rFonts w:ascii="Times New Roman" w:hAnsi="Times New Roman" w:cs="Times New Roman"/>
          <w:i/>
        </w:rPr>
        <w:t xml:space="preserve">6 </w:t>
      </w:r>
      <w:r w:rsidR="00F236A4" w:rsidRPr="00661D65">
        <w:rPr>
          <w:rFonts w:ascii="Times New Roman" w:hAnsi="Times New Roman" w:cs="Times New Roman"/>
          <w:i/>
        </w:rPr>
        <w:t xml:space="preserve">paveikslas. </w:t>
      </w:r>
      <w:r w:rsidR="00973B23" w:rsidRPr="00661D65">
        <w:rPr>
          <w:rFonts w:ascii="Times New Roman" w:hAnsi="Times New Roman" w:cs="Times New Roman"/>
          <w:i/>
        </w:rPr>
        <w:t xml:space="preserve">Kontrolės procedūrų </w:t>
      </w:r>
      <w:r w:rsidR="008119D2" w:rsidRPr="008119D2">
        <w:rPr>
          <w:rFonts w:ascii="Times New Roman" w:hAnsi="Times New Roman" w:cs="Times New Roman"/>
          <w:i/>
        </w:rPr>
        <w:t>ir</w:t>
      </w:r>
      <w:r w:rsidR="00CF0053" w:rsidRPr="008119D2">
        <w:rPr>
          <w:rFonts w:ascii="Times New Roman" w:hAnsi="Times New Roman" w:cs="Times New Roman"/>
          <w:i/>
        </w:rPr>
        <w:t xml:space="preserve"> SNV procedūrų </w:t>
      </w:r>
      <w:r w:rsidR="00973B23" w:rsidRPr="008119D2">
        <w:rPr>
          <w:rFonts w:ascii="Times New Roman" w:hAnsi="Times New Roman" w:cs="Times New Roman"/>
          <w:i/>
        </w:rPr>
        <w:t>metu n</w:t>
      </w:r>
      <w:r w:rsidR="00F236A4" w:rsidRPr="008119D2">
        <w:rPr>
          <w:rFonts w:ascii="Times New Roman" w:hAnsi="Times New Roman" w:cs="Times New Roman"/>
          <w:i/>
        </w:rPr>
        <w:t>ustatytos</w:t>
      </w:r>
      <w:r w:rsidR="00F236A4" w:rsidRPr="00661D65">
        <w:rPr>
          <w:rFonts w:ascii="Times New Roman" w:hAnsi="Times New Roman" w:cs="Times New Roman"/>
          <w:i/>
        </w:rPr>
        <w:t xml:space="preserve"> </w:t>
      </w:r>
      <w:r w:rsidR="008119D2">
        <w:rPr>
          <w:rFonts w:ascii="Times New Roman" w:hAnsi="Times New Roman" w:cs="Times New Roman"/>
          <w:i/>
        </w:rPr>
        <w:t>bei</w:t>
      </w:r>
      <w:r w:rsidR="00F236A4" w:rsidRPr="00CF0053">
        <w:rPr>
          <w:rFonts w:ascii="Times New Roman" w:hAnsi="Times New Roman" w:cs="Times New Roman"/>
          <w:i/>
        </w:rPr>
        <w:t xml:space="preserve"> </w:t>
      </w:r>
      <w:r w:rsidR="00973B23" w:rsidRPr="00CF0053">
        <w:rPr>
          <w:rFonts w:ascii="Times New Roman" w:hAnsi="Times New Roman" w:cs="Times New Roman"/>
          <w:i/>
        </w:rPr>
        <w:t>dėl statistinių kortelių taisymo</w:t>
      </w:r>
      <w:r w:rsidR="00973B23" w:rsidRPr="00661D65">
        <w:rPr>
          <w:rFonts w:ascii="Times New Roman" w:hAnsi="Times New Roman" w:cs="Times New Roman"/>
          <w:i/>
        </w:rPr>
        <w:t xml:space="preserve"> </w:t>
      </w:r>
      <w:r w:rsidR="00F236A4" w:rsidRPr="00661D65">
        <w:rPr>
          <w:rFonts w:ascii="Times New Roman" w:hAnsi="Times New Roman" w:cs="Times New Roman"/>
          <w:i/>
        </w:rPr>
        <w:t xml:space="preserve">išvengtos žalos PSDF biudžetui santykis su metiniu </w:t>
      </w:r>
      <w:r w:rsidR="00BD071D" w:rsidRPr="00661D65">
        <w:rPr>
          <w:rFonts w:ascii="Times New Roman" w:hAnsi="Times New Roman" w:cs="Times New Roman"/>
          <w:i/>
        </w:rPr>
        <w:t xml:space="preserve">PSDF </w:t>
      </w:r>
      <w:r w:rsidR="00F236A4" w:rsidRPr="00661D65">
        <w:rPr>
          <w:rFonts w:ascii="Times New Roman" w:hAnsi="Times New Roman" w:cs="Times New Roman"/>
          <w:i/>
        </w:rPr>
        <w:t>biudžetu (proc.)</w:t>
      </w:r>
      <w:bookmarkEnd w:id="5"/>
    </w:p>
    <w:p w14:paraId="3F7ADCE9" w14:textId="77777777" w:rsidR="00145DBE" w:rsidRPr="00157C0B" w:rsidRDefault="00145DBE" w:rsidP="009018C3">
      <w:pPr>
        <w:pStyle w:val="Default"/>
        <w:tabs>
          <w:tab w:val="left" w:pos="284"/>
          <w:tab w:val="left" w:pos="709"/>
          <w:tab w:val="left" w:pos="851"/>
          <w:tab w:val="left" w:pos="993"/>
        </w:tabs>
        <w:ind w:left="1211"/>
        <w:rPr>
          <w:i/>
          <w:iCs/>
        </w:rPr>
      </w:pPr>
    </w:p>
    <w:p w14:paraId="4177B447" w14:textId="185E90C4" w:rsidR="00221D81" w:rsidRPr="00661D65" w:rsidRDefault="00DB2349" w:rsidP="00EE773A">
      <w:pPr>
        <w:pStyle w:val="prastasiniatinklio"/>
        <w:spacing w:before="0" w:beforeAutospacing="0" w:after="0" w:afterAutospacing="0"/>
        <w:ind w:firstLine="851"/>
        <w:jc w:val="both"/>
      </w:pPr>
      <w:r>
        <w:rPr>
          <w:b/>
          <w:bCs/>
        </w:rPr>
        <w:t xml:space="preserve">3. </w:t>
      </w:r>
      <w:r w:rsidR="00171044" w:rsidRPr="00157C0B">
        <w:rPr>
          <w:b/>
          <w:bCs/>
        </w:rPr>
        <w:t>Padėties 3 priežiūros srityse, kuriose yra didžiausia reikšmingos žalos ar pavojaus visuomenei, kitų asmenų interesams ar aplinkai atsiradimo rizika, pokytis</w:t>
      </w:r>
      <w:r w:rsidR="00171044" w:rsidRPr="00157C0B">
        <w:t xml:space="preserve"> (siekiama perspektyvinio rodiklio reikšmė</w:t>
      </w:r>
      <w:r w:rsidR="00BD071D" w:rsidRPr="00157C0B">
        <w:t>s</w:t>
      </w:r>
      <w:r w:rsidR="00171044" w:rsidRPr="00157C0B">
        <w:t xml:space="preserve"> gerėjimo). Rodikli</w:t>
      </w:r>
      <w:r w:rsidR="00BD071D" w:rsidRPr="00157C0B">
        <w:t>o reikšmė</w:t>
      </w:r>
      <w:r w:rsidR="00171044" w:rsidRPr="00157C0B">
        <w:t xml:space="preserve"> apskaičiuojama lyginant atliktų pasirinktos priežiūros srities ūkio subjektų patikrinimų, kai buvo nustatyti pažeidimai, už kuriuos ūkio subjektams skirtos administracinės nuobaudos, skaičių su visais atliktais patikrinimais. Patikrinimų, kurių metu būtų nustatyti pažeidimai, už kuriuos ūkio subjektams </w:t>
      </w:r>
      <w:r w:rsidR="009A2F7A">
        <w:t xml:space="preserve">2023 m. </w:t>
      </w:r>
      <w:r w:rsidR="00171044" w:rsidRPr="00157C0B">
        <w:t>skirtos administracinės nuobaudos, nebuvo</w:t>
      </w:r>
      <w:r w:rsidR="00221D81">
        <w:t xml:space="preserve">. </w:t>
      </w:r>
      <w:r w:rsidR="008B6DBE" w:rsidRPr="00661D65">
        <w:t>2024 m.</w:t>
      </w:r>
      <w:r w:rsidR="00221D81" w:rsidRPr="00661D65">
        <w:t xml:space="preserve"> buvo atliktos 3 kontrolės procedūros, kurių metu ūkio subjektams buvo skirtos administracinės nuobaudos. Visos 3 kontrolės procedūros vykdytos dėl kompensuojamųjų dantų protezavimo paslaugų. </w:t>
      </w:r>
      <w:r w:rsidR="00511E16">
        <w:t xml:space="preserve">Vykdant kontrolės procedūras </w:t>
      </w:r>
      <w:r w:rsidR="00221D81" w:rsidRPr="00661D65">
        <w:t>2024</w:t>
      </w:r>
      <w:r w:rsidR="00EE773A" w:rsidRPr="00661D65">
        <w:t> </w:t>
      </w:r>
      <w:r w:rsidR="00221D81" w:rsidRPr="00661D65">
        <w:t xml:space="preserve">m. nustatyta didžiausia žala PSDF biudžetui šalies mastu buvo šiose kontrolės kryptyse: </w:t>
      </w:r>
      <w:r w:rsidR="00EE773A" w:rsidRPr="00661D65">
        <w:t xml:space="preserve">kompensuojamųjų vaistų ir medicinos pagalbos priemonių skyrimo ir išrašymo, dantų protezavimo paslaugų </w:t>
      </w:r>
      <w:r w:rsidR="00511E16">
        <w:t>bei</w:t>
      </w:r>
      <w:r w:rsidR="00EE773A" w:rsidRPr="00661D65">
        <w:t xml:space="preserve"> slaugos paslaugų</w:t>
      </w:r>
      <w:r w:rsidR="00221D81" w:rsidRPr="00661D65">
        <w:t xml:space="preserve">. </w:t>
      </w:r>
      <w:r w:rsidR="00EE773A" w:rsidRPr="00661D65">
        <w:t>V</w:t>
      </w:r>
      <w:r w:rsidR="00221D81" w:rsidRPr="00661D65">
        <w:t>iena iš krypčių</w:t>
      </w:r>
      <w:r w:rsidR="00EE773A" w:rsidRPr="00661D65">
        <w:t>, kurioje buvo nustatyta didžiausia žala PSDF</w:t>
      </w:r>
      <w:r w:rsidR="0009670A" w:rsidRPr="00661D65">
        <w:t xml:space="preserve"> biudžetui</w:t>
      </w:r>
      <w:r w:rsidR="00EE773A" w:rsidRPr="00661D65">
        <w:t xml:space="preserve"> ir skirtos administracinės nuobaudos,</w:t>
      </w:r>
      <w:r w:rsidR="00221D81" w:rsidRPr="00661D65">
        <w:t xml:space="preserve"> buvo dantų protezavimas, 2024 m. šalyje </w:t>
      </w:r>
      <w:r w:rsidR="0009670A" w:rsidRPr="00661D65">
        <w:t xml:space="preserve">iš viso </w:t>
      </w:r>
      <w:r w:rsidR="00221D81" w:rsidRPr="00661D65">
        <w:t>buvo atlikto</w:t>
      </w:r>
      <w:r w:rsidR="0009670A" w:rsidRPr="00661D65">
        <w:t>s</w:t>
      </w:r>
      <w:r w:rsidR="00221D81" w:rsidRPr="00661D65">
        <w:t xml:space="preserve"> 48 dantų protezavimo paslaugų kontrolės procedūros, </w:t>
      </w:r>
      <w:r w:rsidR="00EE773A" w:rsidRPr="00661D65">
        <w:t xml:space="preserve">todėl </w:t>
      </w:r>
      <w:r w:rsidR="00221D81" w:rsidRPr="00661D65">
        <w:t>bendra šio rodiklio reikšmė – 6,25 proc.</w:t>
      </w:r>
    </w:p>
    <w:p w14:paraId="5FDEE0EA" w14:textId="51FA311E" w:rsidR="00FB1B37" w:rsidRDefault="00DB2349" w:rsidP="00DB2349">
      <w:pPr>
        <w:pStyle w:val="prastasiniatinklio"/>
        <w:spacing w:before="0" w:beforeAutospacing="0" w:after="0" w:afterAutospacing="0"/>
        <w:ind w:firstLine="851"/>
        <w:jc w:val="both"/>
      </w:pPr>
      <w:r>
        <w:rPr>
          <w:b/>
          <w:bCs/>
        </w:rPr>
        <w:t xml:space="preserve">4. </w:t>
      </w:r>
      <w:r w:rsidR="00563D95" w:rsidRPr="00157C0B">
        <w:rPr>
          <w:b/>
          <w:bCs/>
        </w:rPr>
        <w:t>Patikrinimų, padėjusių užkirsti kelią žalos visuomenei, kitų asmenų interesams ar aplinkai atsiradimui, kai ši žala ar pavojus reikšmingi, dalis, palyginti su visais neplaniniais patikrinimais</w:t>
      </w:r>
      <w:r w:rsidR="00563D95" w:rsidRPr="00157C0B">
        <w:t xml:space="preserve"> (siekiama perspektyvinio </w:t>
      </w:r>
      <w:r w:rsidR="00171044" w:rsidRPr="00157C0B">
        <w:t xml:space="preserve">rodiklio reikšmės </w:t>
      </w:r>
      <w:r w:rsidR="00563D95" w:rsidRPr="00157C0B">
        <w:t xml:space="preserve">didėjimo). </w:t>
      </w:r>
      <w:r w:rsidR="00171044" w:rsidRPr="00157C0B">
        <w:t>Rodikli</w:t>
      </w:r>
      <w:r w:rsidR="00BD071D" w:rsidRPr="00157C0B">
        <w:t>o reikšmė</w:t>
      </w:r>
      <w:r w:rsidR="00171044" w:rsidRPr="00157C0B">
        <w:t xml:space="preserve"> apskaičiuojama lyginant neplaninių patikrinimų, </w:t>
      </w:r>
      <w:bookmarkStart w:id="6" w:name="_Hlk128482451"/>
      <w:r w:rsidR="00171044" w:rsidRPr="00157C0B">
        <w:t>kai buvo nustatyti pažeidimai, už kuriuos ūkio subjektams skirtos administracinės nuobaudos</w:t>
      </w:r>
      <w:bookmarkEnd w:id="6"/>
      <w:r w:rsidR="00171044" w:rsidRPr="00157C0B">
        <w:t xml:space="preserve">, skaičių su atliktų neplaninių patikrinimų skaičiumi. Neplaninių patikrinimų, kurių metu būtų nustatyti pažeidimai, už kuriuos ūkio subjektams </w:t>
      </w:r>
      <w:r w:rsidR="008B6DBE">
        <w:t xml:space="preserve">2023 m. </w:t>
      </w:r>
      <w:r w:rsidR="00171044" w:rsidRPr="00157C0B">
        <w:t>skirtos administracinės nuobaudos</w:t>
      </w:r>
      <w:r w:rsidR="00FA22E3" w:rsidRPr="00157C0B">
        <w:t xml:space="preserve">, </w:t>
      </w:r>
      <w:r w:rsidR="00171044" w:rsidRPr="00157C0B">
        <w:t>nebuvo</w:t>
      </w:r>
      <w:r w:rsidR="00FB1B37">
        <w:t xml:space="preserve">. </w:t>
      </w:r>
      <w:r w:rsidR="007707F8" w:rsidRPr="00661D65">
        <w:t>Kaip jau buvo minėta 2024 m. buvo atliktos 3 kontrolės procedūros, kurių metu ūkio subjektams buvo skirtos administracinės nuobaudos dėl kompensuojamųjų dantų protezavimo paslaugų.</w:t>
      </w:r>
      <w:r w:rsidR="00652861" w:rsidRPr="00661D65">
        <w:t xml:space="preserve"> </w:t>
      </w:r>
      <w:r w:rsidR="00A35659" w:rsidRPr="00661D65">
        <w:t xml:space="preserve">Visos 3 kontrolės procedūros buvo vykdytos neplanine tvarka. </w:t>
      </w:r>
      <w:r w:rsidR="00C42C0E" w:rsidRPr="00661D65">
        <w:t>Š</w:t>
      </w:r>
      <w:r w:rsidR="00652861" w:rsidRPr="00661D65">
        <w:t xml:space="preserve">alyje </w:t>
      </w:r>
      <w:r w:rsidR="00C42C0E" w:rsidRPr="00661D65">
        <w:t xml:space="preserve">2024 m. </w:t>
      </w:r>
      <w:r w:rsidR="00A35659" w:rsidRPr="00661D65">
        <w:t xml:space="preserve">iš viso </w:t>
      </w:r>
      <w:r w:rsidR="00652861" w:rsidRPr="00661D65">
        <w:t>buvo atlikta 50 neplaninių kontrolės procedūrų, todėl bendra šio rodiklio reikšmė –</w:t>
      </w:r>
      <w:r w:rsidR="000D3642" w:rsidRPr="00661D65">
        <w:t xml:space="preserve"> 6 proc.</w:t>
      </w:r>
    </w:p>
    <w:p w14:paraId="407F935E" w14:textId="6B04F5F5" w:rsidR="001E21BF" w:rsidRPr="00157C0B" w:rsidRDefault="00DB2349" w:rsidP="00DB2349">
      <w:pPr>
        <w:pStyle w:val="prastasiniatinklio"/>
        <w:spacing w:before="0" w:beforeAutospacing="0" w:after="0" w:afterAutospacing="0"/>
        <w:ind w:firstLine="851"/>
        <w:jc w:val="both"/>
      </w:pPr>
      <w:r>
        <w:rPr>
          <w:rFonts w:eastAsiaTheme="majorEastAsia"/>
          <w:b/>
          <w:bCs/>
          <w:kern w:val="24"/>
        </w:rPr>
        <w:t xml:space="preserve">5. </w:t>
      </w:r>
      <w:r w:rsidR="00DF4DF9" w:rsidRPr="00157C0B">
        <w:rPr>
          <w:rFonts w:eastAsiaTheme="majorEastAsia"/>
          <w:b/>
          <w:bCs/>
          <w:kern w:val="24"/>
        </w:rPr>
        <w:t xml:space="preserve">Viešai skelbiama informacija apie planinius patikrinimus. </w:t>
      </w:r>
      <w:r w:rsidR="00D246B9" w:rsidRPr="00157C0B">
        <w:rPr>
          <w:rFonts w:eastAsiaTheme="majorEastAsia"/>
          <w:kern w:val="24"/>
        </w:rPr>
        <w:t>Informacija</w:t>
      </w:r>
      <w:r w:rsidR="00D246B9" w:rsidRPr="00157C0B">
        <w:rPr>
          <w:rFonts w:eastAsiaTheme="majorEastAsia"/>
          <w:b/>
          <w:bCs/>
          <w:kern w:val="24"/>
        </w:rPr>
        <w:t xml:space="preserve"> </w:t>
      </w:r>
      <w:r w:rsidR="00D246B9" w:rsidRPr="00157C0B">
        <w:rPr>
          <w:rFonts w:eastAsiaTheme="majorEastAsia"/>
          <w:kern w:val="24"/>
        </w:rPr>
        <w:t>apie</w:t>
      </w:r>
      <w:r w:rsidR="00D246B9" w:rsidRPr="00157C0B">
        <w:rPr>
          <w:rFonts w:eastAsiaTheme="majorEastAsia"/>
          <w:b/>
          <w:bCs/>
          <w:kern w:val="24"/>
        </w:rPr>
        <w:t xml:space="preserve"> </w:t>
      </w:r>
      <w:r w:rsidR="00D246B9" w:rsidRPr="00157C0B">
        <w:rPr>
          <w:rFonts w:eastAsiaTheme="majorEastAsia"/>
          <w:kern w:val="24"/>
        </w:rPr>
        <w:t>TLK</w:t>
      </w:r>
      <w:r w:rsidR="00D246B9" w:rsidRPr="00157C0B">
        <w:rPr>
          <w:rFonts w:eastAsiaTheme="majorEastAsia"/>
          <w:b/>
          <w:bCs/>
          <w:kern w:val="24"/>
        </w:rPr>
        <w:t xml:space="preserve"> </w:t>
      </w:r>
      <w:r w:rsidR="00D246B9" w:rsidRPr="00157C0B">
        <w:rPr>
          <w:rFonts w:eastAsiaTheme="majorEastAsia"/>
          <w:kern w:val="24"/>
        </w:rPr>
        <w:t xml:space="preserve">planinius (tiek metinius, tiek ketvirtinius) patikrinimus yra skelbiama viešai ir prieinama ligonių kasų </w:t>
      </w:r>
      <w:r w:rsidR="00D246B9" w:rsidRPr="00157C0B">
        <w:rPr>
          <w:rFonts w:eastAsiaTheme="majorEastAsia"/>
          <w:kern w:val="24"/>
        </w:rPr>
        <w:lastRenderedPageBreak/>
        <w:t xml:space="preserve">interneto svetainėje adresu </w:t>
      </w:r>
      <w:hyperlink r:id="rId15" w:history="1">
        <w:r w:rsidR="00D246B9" w:rsidRPr="00157C0B">
          <w:rPr>
            <w:rStyle w:val="Hipersaitas"/>
            <w:rFonts w:eastAsiaTheme="majorEastAsia"/>
            <w:kern w:val="24"/>
          </w:rPr>
          <w:t>https://ligoniukasa.lrv.lt/</w:t>
        </w:r>
      </w:hyperlink>
      <w:r w:rsidR="00D246B9" w:rsidRPr="00157C0B">
        <w:rPr>
          <w:rFonts w:eastAsiaTheme="majorEastAsia"/>
          <w:kern w:val="24"/>
        </w:rPr>
        <w:t>.</w:t>
      </w:r>
      <w:r w:rsidR="00D246B9" w:rsidRPr="00157C0B">
        <w:rPr>
          <w:rFonts w:eastAsiaTheme="majorEastAsia"/>
          <w:b/>
          <w:bCs/>
          <w:kern w:val="24"/>
        </w:rPr>
        <w:t xml:space="preserve"> </w:t>
      </w:r>
      <w:r w:rsidR="003A27BB" w:rsidRPr="00157C0B">
        <w:t>202</w:t>
      </w:r>
      <w:r w:rsidR="003A27BB">
        <w:t>4 </w:t>
      </w:r>
      <w:r w:rsidR="00FC6587" w:rsidRPr="00157C0B">
        <w:t xml:space="preserve">m. visos TLK </w:t>
      </w:r>
      <w:r w:rsidR="00DF4DF9" w:rsidRPr="00157C0B">
        <w:t>skelbė informaciją apie visus planinius patikrinimus</w:t>
      </w:r>
      <w:r w:rsidR="00D246B9" w:rsidRPr="00157C0B">
        <w:t xml:space="preserve"> </w:t>
      </w:r>
      <w:r w:rsidR="00BD071D" w:rsidRPr="00157C0B">
        <w:t>(</w:t>
      </w:r>
      <w:r w:rsidR="00D246B9" w:rsidRPr="00157C0B">
        <w:t>100</w:t>
      </w:r>
      <w:r w:rsidR="003A27BB">
        <w:t> </w:t>
      </w:r>
      <w:r w:rsidR="00D246B9" w:rsidRPr="00157C0B">
        <w:t>proc.</w:t>
      </w:r>
      <w:r w:rsidR="00BD071D" w:rsidRPr="00157C0B">
        <w:t>).</w:t>
      </w:r>
      <w:r w:rsidR="001E21BF" w:rsidRPr="00157C0B">
        <w:t xml:space="preserve"> </w:t>
      </w:r>
    </w:p>
    <w:p w14:paraId="2696392A" w14:textId="3356C5DC" w:rsidR="001E21BF" w:rsidRDefault="00DB2349" w:rsidP="00DB2349">
      <w:pPr>
        <w:pStyle w:val="prastasiniatinklio"/>
        <w:spacing w:before="0" w:beforeAutospacing="0" w:after="0" w:afterAutospacing="0"/>
        <w:ind w:firstLine="851"/>
        <w:jc w:val="both"/>
      </w:pPr>
      <w:r>
        <w:rPr>
          <w:rFonts w:eastAsiaTheme="majorEastAsia"/>
          <w:b/>
          <w:bCs/>
          <w:kern w:val="24"/>
        </w:rPr>
        <w:t xml:space="preserve">6. </w:t>
      </w:r>
      <w:r w:rsidR="001E21BF" w:rsidRPr="00157C0B">
        <w:rPr>
          <w:rFonts w:eastAsiaTheme="majorEastAsia"/>
          <w:b/>
          <w:bCs/>
          <w:kern w:val="24"/>
        </w:rPr>
        <w:t xml:space="preserve">Vertinamojo laikotarpio planinių patikrinimų, apie kuriuos iš anksto pranešama tikrinamoms įstaigoms ir įmonėms, dalis (proc.), palyginti su visais šiuo laikotarpiu atliktais patikrinimais. </w:t>
      </w:r>
      <w:r w:rsidR="001E21BF" w:rsidRPr="00157C0B">
        <w:rPr>
          <w:rFonts w:eastAsiaTheme="minorEastAsia"/>
          <w:kern w:val="24"/>
        </w:rPr>
        <w:t xml:space="preserve">Siektina reikšmė </w:t>
      </w:r>
      <w:r w:rsidR="00C8549B" w:rsidRPr="00157C0B">
        <w:rPr>
          <w:rFonts w:eastAsiaTheme="minorEastAsia"/>
          <w:kern w:val="24"/>
        </w:rPr>
        <w:t xml:space="preserve">– </w:t>
      </w:r>
      <w:r w:rsidR="001E21BF" w:rsidRPr="00157C0B">
        <w:rPr>
          <w:rFonts w:eastAsiaTheme="minorEastAsia"/>
          <w:kern w:val="24"/>
        </w:rPr>
        <w:t>ne mažiau kaip</w:t>
      </w:r>
      <w:r w:rsidR="001E21BF" w:rsidRPr="00A35659">
        <w:rPr>
          <w:rFonts w:eastAsiaTheme="minorEastAsia"/>
          <w:kern w:val="24"/>
        </w:rPr>
        <w:t xml:space="preserve"> 65 proc. </w:t>
      </w:r>
      <w:r w:rsidR="001E21BF" w:rsidRPr="00157C0B">
        <w:rPr>
          <w:rFonts w:eastAsiaTheme="minorEastAsia"/>
          <w:kern w:val="24"/>
        </w:rPr>
        <w:t>planinių kontrolės procedūrų.</w:t>
      </w:r>
      <w:r w:rsidR="001E21BF" w:rsidRPr="00157C0B">
        <w:t xml:space="preserve"> </w:t>
      </w:r>
      <w:r w:rsidR="007A0A6A" w:rsidRPr="00157C0B">
        <w:t>202</w:t>
      </w:r>
      <w:r w:rsidR="007A0A6A">
        <w:t>4</w:t>
      </w:r>
      <w:r w:rsidR="00162049">
        <w:t> </w:t>
      </w:r>
      <w:r w:rsidR="001E21BF" w:rsidRPr="00157C0B">
        <w:t xml:space="preserve">m. visos TLK viršijo </w:t>
      </w:r>
      <w:r w:rsidR="00C8549B" w:rsidRPr="00157C0B">
        <w:t xml:space="preserve">siektiną </w:t>
      </w:r>
      <w:r w:rsidR="001E21BF" w:rsidRPr="00157C0B">
        <w:t xml:space="preserve">šio rodiklio reikšmę (žr. </w:t>
      </w:r>
      <w:r w:rsidR="00A36A96">
        <w:t>7</w:t>
      </w:r>
      <w:r w:rsidR="001E21BF" w:rsidRPr="00157C0B">
        <w:t xml:space="preserve"> paveikslą). Tai atitinka Lietuvos Respublikos Vyriausybės 2010</w:t>
      </w:r>
      <w:r w:rsidR="003A27BB">
        <w:t> </w:t>
      </w:r>
      <w:r w:rsidR="001E21BF" w:rsidRPr="00157C0B">
        <w:t>m. gegužės 4</w:t>
      </w:r>
      <w:r w:rsidR="003A27BB">
        <w:t> </w:t>
      </w:r>
      <w:r w:rsidR="001E21BF" w:rsidRPr="00157C0B">
        <w:t>d. nutarime Nr.</w:t>
      </w:r>
      <w:r w:rsidR="003A27BB">
        <w:t> </w:t>
      </w:r>
      <w:r w:rsidR="001E21BF" w:rsidRPr="00157C0B">
        <w:t>511 „Dėl institucijų atliekamų priežiūros funkcijų optimizavimo“ numatytą siekį didinti planine tvarka vykdomų patikrinimų skaičių.</w:t>
      </w:r>
    </w:p>
    <w:p w14:paraId="722A666F" w14:textId="77777777" w:rsidR="00A36A96" w:rsidRDefault="00A36A96" w:rsidP="00DB2349">
      <w:pPr>
        <w:pStyle w:val="prastasiniatinklio"/>
        <w:spacing w:before="0" w:beforeAutospacing="0" w:after="0" w:afterAutospacing="0"/>
        <w:ind w:firstLine="851"/>
        <w:jc w:val="both"/>
      </w:pPr>
    </w:p>
    <w:p w14:paraId="678AF83C" w14:textId="5B1ED25D" w:rsidR="00162049" w:rsidRDefault="00162049" w:rsidP="00934025">
      <w:pPr>
        <w:pStyle w:val="prastasiniatinklio"/>
        <w:spacing w:before="0" w:beforeAutospacing="0" w:after="0" w:afterAutospacing="0"/>
        <w:jc w:val="both"/>
      </w:pPr>
      <w:r>
        <w:rPr>
          <w:noProof/>
        </w:rPr>
        <w:drawing>
          <wp:inline distT="0" distB="0" distL="0" distR="0" wp14:anchorId="4879186B" wp14:editId="06473869">
            <wp:extent cx="6120000" cy="2880000"/>
            <wp:effectExtent l="0" t="0" r="14605" b="15875"/>
            <wp:docPr id="1225803845" name="Diagrama 1">
              <a:extLst xmlns:a="http://schemas.openxmlformats.org/drawingml/2006/main">
                <a:ext uri="{FF2B5EF4-FFF2-40B4-BE49-F238E27FC236}">
                  <a16:creationId xmlns:a16="http://schemas.microsoft.com/office/drawing/2014/main" id="{1A5ACB70-2EA8-47FB-BB56-481C7FA6D7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2B316C" w14:textId="62739389" w:rsidR="00FC6587" w:rsidRPr="00157C0B" w:rsidRDefault="00A36A96" w:rsidP="00C128D6">
      <w:pPr>
        <w:pStyle w:val="Default"/>
        <w:rPr>
          <w:i/>
          <w:iCs/>
        </w:rPr>
      </w:pPr>
      <w:r>
        <w:rPr>
          <w:i/>
          <w:iCs/>
        </w:rPr>
        <w:t>7</w:t>
      </w:r>
      <w:r w:rsidR="002D7698">
        <w:rPr>
          <w:i/>
          <w:iCs/>
        </w:rPr>
        <w:t xml:space="preserve"> </w:t>
      </w:r>
      <w:r w:rsidR="007F1B89" w:rsidRPr="00157C0B">
        <w:rPr>
          <w:i/>
          <w:iCs/>
        </w:rPr>
        <w:t>paveikslas. Planinių kontrolės procedūrų pokytis (proc.)</w:t>
      </w:r>
      <w:r w:rsidR="00496B35" w:rsidRPr="00157C0B">
        <w:rPr>
          <w:i/>
          <w:iCs/>
        </w:rPr>
        <w:t>.</w:t>
      </w:r>
    </w:p>
    <w:p w14:paraId="4F13F6D1" w14:textId="77777777" w:rsidR="00873C34" w:rsidRPr="00157C0B" w:rsidRDefault="00873C34" w:rsidP="00873C34">
      <w:pPr>
        <w:pStyle w:val="Default"/>
        <w:tabs>
          <w:tab w:val="left" w:pos="0"/>
          <w:tab w:val="left" w:pos="284"/>
          <w:tab w:val="left" w:pos="709"/>
        </w:tabs>
        <w:rPr>
          <w:i/>
          <w:iCs/>
        </w:rPr>
      </w:pPr>
    </w:p>
    <w:p w14:paraId="4BF0900F" w14:textId="5088EA05" w:rsidR="00581655" w:rsidRPr="00661D65" w:rsidRDefault="00DB2349" w:rsidP="00DB2349">
      <w:pPr>
        <w:spacing w:after="0" w:line="240" w:lineRule="auto"/>
        <w:ind w:firstLine="851"/>
        <w:jc w:val="both"/>
        <w:rPr>
          <w:rFonts w:ascii="Times New Roman" w:hAnsi="Times New Roman" w:cs="Times New Roman"/>
          <w:sz w:val="24"/>
          <w:szCs w:val="24"/>
        </w:rPr>
      </w:pPr>
      <w:r>
        <w:rPr>
          <w:rFonts w:ascii="Times New Roman" w:eastAsiaTheme="majorEastAsia" w:hAnsi="Times New Roman" w:cs="Times New Roman"/>
          <w:b/>
          <w:bCs/>
          <w:kern w:val="24"/>
          <w:sz w:val="24"/>
          <w:szCs w:val="24"/>
        </w:rPr>
        <w:t xml:space="preserve">7. </w:t>
      </w:r>
      <w:r w:rsidR="00581655" w:rsidRPr="00DB2349">
        <w:rPr>
          <w:rFonts w:ascii="Times New Roman" w:eastAsiaTheme="majorEastAsia" w:hAnsi="Times New Roman" w:cs="Times New Roman"/>
          <w:b/>
          <w:bCs/>
          <w:kern w:val="24"/>
          <w:sz w:val="24"/>
          <w:szCs w:val="24"/>
        </w:rPr>
        <w:t>Ūkio subjektų</w:t>
      </w:r>
      <w:r w:rsidR="00581655" w:rsidRPr="00DB2349">
        <w:rPr>
          <w:rFonts w:ascii="Times New Roman" w:eastAsiaTheme="majorEastAsia" w:hAnsi="Times New Roman" w:cs="Times New Roman"/>
          <w:b/>
          <w:bCs/>
          <w:kern w:val="24"/>
        </w:rPr>
        <w:t xml:space="preserve"> </w:t>
      </w:r>
      <w:r w:rsidR="00581655" w:rsidRPr="00DB2349">
        <w:rPr>
          <w:rFonts w:ascii="Times New Roman" w:eastAsiaTheme="majorEastAsia" w:hAnsi="Times New Roman" w:cs="Times New Roman"/>
          <w:b/>
          <w:bCs/>
          <w:kern w:val="24"/>
          <w:sz w:val="24"/>
          <w:szCs w:val="24"/>
        </w:rPr>
        <w:t xml:space="preserve">veiklos priežiūrą vykdančių TLK darbuotojų, vertinamuoju laikotarpiu dalyvavusių kvalifikacijos tobulinimosi kursuose ir mokymuose, </w:t>
      </w:r>
      <w:r w:rsidR="00581212" w:rsidRPr="00DB2349">
        <w:rPr>
          <w:rFonts w:ascii="Times New Roman" w:eastAsiaTheme="majorEastAsia" w:hAnsi="Times New Roman" w:cs="Times New Roman"/>
          <w:b/>
          <w:bCs/>
          <w:kern w:val="24"/>
          <w:sz w:val="24"/>
          <w:szCs w:val="24"/>
        </w:rPr>
        <w:t>dalis</w:t>
      </w:r>
      <w:r w:rsidR="00581655" w:rsidRPr="00DB2349">
        <w:rPr>
          <w:rFonts w:ascii="Times New Roman" w:eastAsiaTheme="majorEastAsia" w:hAnsi="Times New Roman" w:cs="Times New Roman"/>
          <w:b/>
          <w:bCs/>
          <w:kern w:val="24"/>
          <w:sz w:val="24"/>
          <w:szCs w:val="24"/>
        </w:rPr>
        <w:t xml:space="preserve"> (proc.),</w:t>
      </w:r>
      <w:r w:rsidR="00581212" w:rsidRPr="00DB2349">
        <w:rPr>
          <w:rFonts w:ascii="Times New Roman" w:eastAsiaTheme="majorEastAsia" w:hAnsi="Times New Roman" w:cs="Times New Roman"/>
          <w:b/>
          <w:bCs/>
          <w:kern w:val="24"/>
          <w:sz w:val="24"/>
          <w:szCs w:val="24"/>
        </w:rPr>
        <w:t xml:space="preserve"> palyginti su bendru ūkio subjektų priežiūrą vykdančių darbuotojų skaičiumi</w:t>
      </w:r>
      <w:r w:rsidR="00581655" w:rsidRPr="00DB2349">
        <w:rPr>
          <w:rFonts w:ascii="Times New Roman" w:eastAsiaTheme="majorEastAsia" w:hAnsi="Times New Roman" w:cs="Times New Roman"/>
          <w:b/>
          <w:bCs/>
          <w:kern w:val="24"/>
          <w:sz w:val="24"/>
          <w:szCs w:val="24"/>
        </w:rPr>
        <w:t xml:space="preserve"> </w:t>
      </w:r>
      <w:r w:rsidR="00581655" w:rsidRPr="00DB2349">
        <w:rPr>
          <w:rFonts w:ascii="Times New Roman" w:eastAsiaTheme="majorEastAsia" w:hAnsi="Times New Roman" w:cs="Times New Roman"/>
          <w:kern w:val="24"/>
          <w:sz w:val="24"/>
          <w:szCs w:val="24"/>
        </w:rPr>
        <w:t>(siekiama perspektyvinio šio rodiklio reikšmės didėjimo).</w:t>
      </w:r>
      <w:r w:rsidR="00581655" w:rsidRPr="00DB2349">
        <w:rPr>
          <w:rFonts w:ascii="Times New Roman" w:hAnsi="Times New Roman" w:cs="Times New Roman"/>
          <w:sz w:val="24"/>
          <w:szCs w:val="24"/>
        </w:rPr>
        <w:t xml:space="preserve"> </w:t>
      </w:r>
      <w:r w:rsidR="00657753" w:rsidRPr="00DB2349">
        <w:rPr>
          <w:rFonts w:ascii="Times New Roman" w:hAnsi="Times New Roman" w:cs="Times New Roman"/>
          <w:sz w:val="24"/>
          <w:szCs w:val="24"/>
        </w:rPr>
        <w:t>2024 </w:t>
      </w:r>
      <w:r w:rsidR="000F2CA8" w:rsidRPr="00DB2349">
        <w:rPr>
          <w:rFonts w:ascii="Times New Roman" w:hAnsi="Times New Roman" w:cs="Times New Roman"/>
          <w:sz w:val="24"/>
          <w:szCs w:val="24"/>
        </w:rPr>
        <w:t xml:space="preserve">m. </w:t>
      </w:r>
      <w:r w:rsidR="00F14C2B" w:rsidRPr="00DB2349">
        <w:rPr>
          <w:rFonts w:ascii="Times New Roman" w:hAnsi="Times New Roman" w:cs="Times New Roman"/>
          <w:sz w:val="24"/>
          <w:szCs w:val="24"/>
        </w:rPr>
        <w:t>(</w:t>
      </w:r>
      <w:r w:rsidR="000F2CA8" w:rsidRPr="00DB2349">
        <w:rPr>
          <w:rFonts w:ascii="Times New Roman" w:hAnsi="Times New Roman" w:cs="Times New Roman"/>
          <w:sz w:val="24"/>
          <w:szCs w:val="24"/>
        </w:rPr>
        <w:t>kaip ir 202</w:t>
      </w:r>
      <w:r w:rsidR="00657753" w:rsidRPr="00DB2349">
        <w:rPr>
          <w:rFonts w:ascii="Times New Roman" w:hAnsi="Times New Roman" w:cs="Times New Roman"/>
          <w:sz w:val="24"/>
          <w:szCs w:val="24"/>
        </w:rPr>
        <w:t>3 </w:t>
      </w:r>
      <w:r w:rsidR="00581655" w:rsidRPr="00DB2349">
        <w:rPr>
          <w:rFonts w:ascii="Times New Roman" w:hAnsi="Times New Roman" w:cs="Times New Roman"/>
          <w:sz w:val="24"/>
          <w:szCs w:val="24"/>
        </w:rPr>
        <w:t>m.</w:t>
      </w:r>
      <w:r w:rsidR="00F14C2B" w:rsidRPr="00DB2349">
        <w:rPr>
          <w:rFonts w:ascii="Times New Roman" w:hAnsi="Times New Roman" w:cs="Times New Roman"/>
          <w:sz w:val="24"/>
          <w:szCs w:val="24"/>
        </w:rPr>
        <w:t>)</w:t>
      </w:r>
      <w:r w:rsidR="00581655" w:rsidRPr="00DB2349">
        <w:rPr>
          <w:rFonts w:ascii="Times New Roman" w:hAnsi="Times New Roman" w:cs="Times New Roman"/>
          <w:sz w:val="24"/>
          <w:szCs w:val="24"/>
        </w:rPr>
        <w:t xml:space="preserve"> buvo pasiekta, kad kvalifikacijos tobulinimo kursuose dalyvautų </w:t>
      </w:r>
      <w:r w:rsidR="00583EAE" w:rsidRPr="00DB2349">
        <w:rPr>
          <w:rFonts w:ascii="Times New Roman" w:hAnsi="Times New Roman" w:cs="Times New Roman"/>
          <w:sz w:val="24"/>
          <w:szCs w:val="24"/>
        </w:rPr>
        <w:t>100</w:t>
      </w:r>
      <w:r w:rsidR="004217F3" w:rsidRPr="00DB2349">
        <w:rPr>
          <w:rFonts w:ascii="Times New Roman" w:hAnsi="Times New Roman" w:cs="Times New Roman"/>
          <w:sz w:val="24"/>
          <w:szCs w:val="24"/>
        </w:rPr>
        <w:t> </w:t>
      </w:r>
      <w:r w:rsidR="00581655" w:rsidRPr="00DB2349">
        <w:rPr>
          <w:rFonts w:ascii="Times New Roman" w:hAnsi="Times New Roman" w:cs="Times New Roman"/>
          <w:sz w:val="24"/>
          <w:szCs w:val="24"/>
        </w:rPr>
        <w:t xml:space="preserve">proc. </w:t>
      </w:r>
      <w:r w:rsidR="008B71ED" w:rsidRPr="00DB2349">
        <w:rPr>
          <w:rFonts w:ascii="Times New Roman" w:hAnsi="Times New Roman" w:cs="Times New Roman"/>
          <w:color w:val="000000"/>
          <w:sz w:val="24"/>
          <w:szCs w:val="24"/>
          <w:lang w:eastAsia="lt-LT"/>
        </w:rPr>
        <w:t>ūkio subjektų</w:t>
      </w:r>
      <w:r w:rsidR="00581655" w:rsidRPr="00DB2349">
        <w:rPr>
          <w:rFonts w:ascii="Times New Roman" w:hAnsi="Times New Roman" w:cs="Times New Roman"/>
          <w:b/>
          <w:color w:val="000000"/>
          <w:sz w:val="24"/>
          <w:szCs w:val="24"/>
          <w:lang w:eastAsia="lt-LT"/>
        </w:rPr>
        <w:t xml:space="preserve"> </w:t>
      </w:r>
      <w:r w:rsidR="00581655" w:rsidRPr="00DB2349">
        <w:rPr>
          <w:rFonts w:ascii="Times New Roman" w:hAnsi="Times New Roman" w:cs="Times New Roman"/>
          <w:sz w:val="24"/>
          <w:szCs w:val="24"/>
        </w:rPr>
        <w:t>veiklos priežiūrą vykdančių darbuotojų</w:t>
      </w:r>
      <w:r w:rsidR="00581655" w:rsidRPr="00661D65">
        <w:rPr>
          <w:rFonts w:ascii="Times New Roman" w:hAnsi="Times New Roman" w:cs="Times New Roman"/>
          <w:sz w:val="24"/>
          <w:szCs w:val="24"/>
        </w:rPr>
        <w:t>.</w:t>
      </w:r>
      <w:r w:rsidR="008B71ED" w:rsidRPr="00661D65">
        <w:rPr>
          <w:rFonts w:ascii="Times New Roman" w:hAnsi="Times New Roman" w:cs="Times New Roman"/>
          <w:sz w:val="24"/>
          <w:szCs w:val="24"/>
        </w:rPr>
        <w:t xml:space="preserve"> </w:t>
      </w:r>
    </w:p>
    <w:p w14:paraId="66D36B02" w14:textId="1A256A2B" w:rsidR="009B4993" w:rsidRPr="00884575" w:rsidRDefault="00DB2349" w:rsidP="00DB2349">
      <w:pPr>
        <w:pStyle w:val="Default"/>
        <w:ind w:firstLine="851"/>
        <w:jc w:val="both"/>
        <w:rPr>
          <w:color w:val="auto"/>
        </w:rPr>
      </w:pPr>
      <w:r>
        <w:rPr>
          <w:rFonts w:eastAsiaTheme="majorEastAsia"/>
          <w:b/>
          <w:bCs/>
          <w:color w:val="auto"/>
          <w:kern w:val="24"/>
        </w:rPr>
        <w:t xml:space="preserve">8. </w:t>
      </w:r>
      <w:r w:rsidR="00831B06" w:rsidRPr="00157C0B">
        <w:rPr>
          <w:rFonts w:eastAsiaTheme="majorEastAsia"/>
          <w:b/>
          <w:bCs/>
          <w:color w:val="auto"/>
          <w:kern w:val="24"/>
        </w:rPr>
        <w:t>Bendras ataskaitiniu laikotarpiu TLK suteiktų konsultacijų skaičius</w:t>
      </w:r>
      <w:r w:rsidR="00831B06" w:rsidRPr="00157C0B">
        <w:rPr>
          <w:rFonts w:eastAsiaTheme="majorEastAsia"/>
          <w:color w:val="auto"/>
          <w:kern w:val="24"/>
        </w:rPr>
        <w:t xml:space="preserve"> (siekiama perspektyvinio </w:t>
      </w:r>
      <w:r w:rsidR="00F14C2B" w:rsidRPr="00157C0B">
        <w:rPr>
          <w:rFonts w:eastAsiaTheme="majorEastAsia"/>
          <w:kern w:val="24"/>
        </w:rPr>
        <w:t xml:space="preserve">šio rodiklio reikšmės </w:t>
      </w:r>
      <w:r w:rsidR="00831B06" w:rsidRPr="00157C0B">
        <w:rPr>
          <w:rFonts w:eastAsiaTheme="majorEastAsia"/>
          <w:color w:val="auto"/>
          <w:kern w:val="24"/>
        </w:rPr>
        <w:t>didėjimo).</w:t>
      </w:r>
      <w:r w:rsidR="00674EF6" w:rsidRPr="00157C0B">
        <w:t xml:space="preserve"> Pažymėtina, kad 202</w:t>
      </w:r>
      <w:r w:rsidR="00DA6C13">
        <w:t>4</w:t>
      </w:r>
      <w:r w:rsidR="00E36D52">
        <w:t> </w:t>
      </w:r>
      <w:r w:rsidR="00674EF6" w:rsidRPr="00157C0B">
        <w:t xml:space="preserve">m. bendras konsultacijų skaičius šalies mastu </w:t>
      </w:r>
      <w:r w:rsidR="001D7F55" w:rsidRPr="00157C0B">
        <w:t>sumažėjo</w:t>
      </w:r>
      <w:r w:rsidR="00674EF6" w:rsidRPr="00157C0B">
        <w:t xml:space="preserve"> </w:t>
      </w:r>
      <w:r w:rsidR="002A5B3F">
        <w:t xml:space="preserve">maždaug </w:t>
      </w:r>
      <w:r w:rsidR="004217F3">
        <w:t>trečdaliu</w:t>
      </w:r>
      <w:r w:rsidR="002B1B24" w:rsidRPr="00157C0B">
        <w:t>,</w:t>
      </w:r>
      <w:r w:rsidR="00674EF6" w:rsidRPr="00157C0B">
        <w:t xml:space="preserve"> </w:t>
      </w:r>
      <w:r w:rsidR="002B1B24" w:rsidRPr="00157C0B">
        <w:t>pa</w:t>
      </w:r>
      <w:r w:rsidR="00674EF6" w:rsidRPr="00157C0B">
        <w:t>lygin</w:t>
      </w:r>
      <w:r w:rsidR="002B1B24" w:rsidRPr="00157C0B">
        <w:t>ti</w:t>
      </w:r>
      <w:r w:rsidR="00674EF6" w:rsidRPr="00157C0B">
        <w:t xml:space="preserve"> su 20</w:t>
      </w:r>
      <w:r w:rsidR="00050AEF" w:rsidRPr="00157C0B">
        <w:t>2</w:t>
      </w:r>
      <w:r w:rsidR="00462E22">
        <w:t>3</w:t>
      </w:r>
      <w:r w:rsidR="00E36D52">
        <w:t> </w:t>
      </w:r>
      <w:r w:rsidR="00674EF6" w:rsidRPr="00157C0B">
        <w:t>m.</w:t>
      </w:r>
      <w:r w:rsidR="004217F3">
        <w:t xml:space="preserve">, nes buvo patikslinta </w:t>
      </w:r>
      <w:r w:rsidR="004217F3" w:rsidRPr="004217F3">
        <w:t xml:space="preserve">taikytų metodinės pagalbos priemonių </w:t>
      </w:r>
      <w:r w:rsidR="004217F3">
        <w:t>skaičiavimo metodika</w:t>
      </w:r>
      <w:r w:rsidR="004217F3" w:rsidRPr="00F94ADE">
        <w:rPr>
          <w:color w:val="auto"/>
        </w:rPr>
        <w:t xml:space="preserve">. </w:t>
      </w:r>
      <w:r w:rsidR="00884575" w:rsidRPr="00F94ADE">
        <w:rPr>
          <w:color w:val="auto"/>
        </w:rPr>
        <w:t>Tai reiškia, kad b</w:t>
      </w:r>
      <w:r w:rsidR="00884575" w:rsidRPr="00661D65">
        <w:rPr>
          <w:color w:val="auto"/>
        </w:rPr>
        <w:t>uvo s</w:t>
      </w:r>
      <w:r w:rsidR="00F67BE7" w:rsidRPr="00661D65">
        <w:rPr>
          <w:color w:val="auto"/>
        </w:rPr>
        <w:t xml:space="preserve">kaičiuojamos visos </w:t>
      </w:r>
      <w:r w:rsidR="00884575" w:rsidRPr="00661D65">
        <w:rPr>
          <w:color w:val="auto"/>
        </w:rPr>
        <w:t>žodžiu suteiktų konsultacijų skaičius kartu su kitomis taikytomis metodinės pagalbos priemonėmis (</w:t>
      </w:r>
      <w:r w:rsidR="00884575" w:rsidRPr="00661D65">
        <w:rPr>
          <w:i/>
          <w:color w:val="auto"/>
        </w:rPr>
        <w:t>pvz., prevencinės priemonės, konsultavimas raštu, pristatyti pranešimai (informacija) seminaruose, informaciniai pranešimai interneto svetainėje ir kt.</w:t>
      </w:r>
      <w:r w:rsidR="00884575" w:rsidRPr="00661D65">
        <w:rPr>
          <w:color w:val="auto"/>
        </w:rPr>
        <w:t>) skaičius.</w:t>
      </w:r>
      <w:r w:rsidR="00884575" w:rsidRPr="00884575">
        <w:rPr>
          <w:color w:val="auto"/>
        </w:rPr>
        <w:t xml:space="preserve"> </w:t>
      </w:r>
      <w:r w:rsidR="00674EF6" w:rsidRPr="00F67BE7">
        <w:t>Vertinant pagal TLK</w:t>
      </w:r>
      <w:r w:rsidR="008D7E3D" w:rsidRPr="00F67BE7">
        <w:t>, daugiau</w:t>
      </w:r>
      <w:r w:rsidR="009E3C72" w:rsidRPr="00F67BE7">
        <w:t>siai</w:t>
      </w:r>
      <w:r w:rsidR="008D7E3D" w:rsidRPr="00F67BE7">
        <w:t xml:space="preserve"> konsultacijų </w:t>
      </w:r>
      <w:r w:rsidR="008D7E3D" w:rsidRPr="00884575">
        <w:rPr>
          <w:color w:val="auto"/>
        </w:rPr>
        <w:t>202</w:t>
      </w:r>
      <w:r w:rsidR="00462E22" w:rsidRPr="00884575">
        <w:rPr>
          <w:color w:val="auto"/>
        </w:rPr>
        <w:t>4</w:t>
      </w:r>
      <w:r w:rsidR="00E36D52" w:rsidRPr="00884575">
        <w:rPr>
          <w:color w:val="auto"/>
        </w:rPr>
        <w:t> </w:t>
      </w:r>
      <w:r w:rsidR="008D7E3D" w:rsidRPr="00884575">
        <w:rPr>
          <w:color w:val="auto"/>
        </w:rPr>
        <w:t xml:space="preserve">m. suteikė </w:t>
      </w:r>
      <w:r w:rsidR="001D7F55" w:rsidRPr="00884575">
        <w:rPr>
          <w:color w:val="auto"/>
        </w:rPr>
        <w:t>Šiaulių TLK</w:t>
      </w:r>
      <w:r w:rsidR="004217F3" w:rsidRPr="00884575">
        <w:rPr>
          <w:color w:val="auto"/>
        </w:rPr>
        <w:t xml:space="preserve">, </w:t>
      </w:r>
      <w:r w:rsidR="009E3C72" w:rsidRPr="00884575">
        <w:rPr>
          <w:color w:val="auto"/>
        </w:rPr>
        <w:t xml:space="preserve">antroje vietoje – </w:t>
      </w:r>
      <w:r w:rsidR="00462E22" w:rsidRPr="00884575">
        <w:rPr>
          <w:color w:val="auto"/>
        </w:rPr>
        <w:t xml:space="preserve">Vilniaus </w:t>
      </w:r>
      <w:r w:rsidR="007A7E95" w:rsidRPr="00884575">
        <w:rPr>
          <w:color w:val="auto"/>
        </w:rPr>
        <w:t>TLK</w:t>
      </w:r>
      <w:r w:rsidR="009E3C72" w:rsidRPr="00884575">
        <w:rPr>
          <w:color w:val="auto"/>
        </w:rPr>
        <w:t>, trečioje –</w:t>
      </w:r>
      <w:r w:rsidR="004217F3" w:rsidRPr="00884575">
        <w:rPr>
          <w:color w:val="auto"/>
        </w:rPr>
        <w:t xml:space="preserve"> </w:t>
      </w:r>
      <w:r w:rsidR="00884575" w:rsidRPr="00884575">
        <w:rPr>
          <w:color w:val="auto"/>
        </w:rPr>
        <w:t>Kauno</w:t>
      </w:r>
      <w:r w:rsidR="004217F3" w:rsidRPr="00884575">
        <w:rPr>
          <w:color w:val="auto"/>
        </w:rPr>
        <w:t xml:space="preserve"> TLK</w:t>
      </w:r>
      <w:r w:rsidR="008D7E3D" w:rsidRPr="00884575">
        <w:rPr>
          <w:color w:val="auto"/>
        </w:rPr>
        <w:t xml:space="preserve"> (žr. </w:t>
      </w:r>
      <w:r w:rsidR="00A36A96" w:rsidRPr="00884575">
        <w:rPr>
          <w:color w:val="auto"/>
        </w:rPr>
        <w:t>8</w:t>
      </w:r>
      <w:r w:rsidR="008D7E3D" w:rsidRPr="00884575">
        <w:rPr>
          <w:color w:val="auto"/>
        </w:rPr>
        <w:t xml:space="preserve"> paveikslą). </w:t>
      </w:r>
    </w:p>
    <w:p w14:paraId="639722BD" w14:textId="77777777" w:rsidR="004217F3" w:rsidRDefault="004217F3" w:rsidP="004217F3">
      <w:pPr>
        <w:pStyle w:val="Default"/>
        <w:tabs>
          <w:tab w:val="left" w:pos="284"/>
          <w:tab w:val="left" w:pos="709"/>
          <w:tab w:val="left" w:pos="993"/>
        </w:tabs>
        <w:ind w:left="851"/>
        <w:jc w:val="both"/>
        <w:rPr>
          <w:rFonts w:eastAsiaTheme="majorEastAsia"/>
          <w:b/>
          <w:bCs/>
          <w:color w:val="auto"/>
          <w:kern w:val="24"/>
        </w:rPr>
      </w:pPr>
    </w:p>
    <w:p w14:paraId="68478B41" w14:textId="73F42293" w:rsidR="004217F3" w:rsidRDefault="004217F3" w:rsidP="004217F3">
      <w:pPr>
        <w:pStyle w:val="Default"/>
        <w:jc w:val="both"/>
        <w:rPr>
          <w:rFonts w:eastAsiaTheme="majorEastAsia"/>
          <w:b/>
          <w:bCs/>
          <w:color w:val="auto"/>
          <w:kern w:val="24"/>
        </w:rPr>
      </w:pPr>
      <w:r>
        <w:rPr>
          <w:noProof/>
        </w:rPr>
        <w:lastRenderedPageBreak/>
        <w:drawing>
          <wp:inline distT="0" distB="0" distL="0" distR="0" wp14:anchorId="77DF6460" wp14:editId="7976DBC4">
            <wp:extent cx="6120000" cy="2880000"/>
            <wp:effectExtent l="0" t="0" r="14605" b="15875"/>
            <wp:docPr id="1746139606" name="Diagrama 1">
              <a:extLst xmlns:a="http://schemas.openxmlformats.org/drawingml/2006/main">
                <a:ext uri="{FF2B5EF4-FFF2-40B4-BE49-F238E27FC236}">
                  <a16:creationId xmlns:a16="http://schemas.microsoft.com/office/drawing/2014/main" id="{E71E19C9-46E7-41C3-9535-75A4D973FE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694EB6" w14:textId="757EF20D" w:rsidR="00674EF6" w:rsidRPr="00157C0B" w:rsidRDefault="00A36A96" w:rsidP="00C128D6">
      <w:pPr>
        <w:pStyle w:val="Default"/>
        <w:rPr>
          <w:b/>
          <w:bCs/>
          <w:color w:val="auto"/>
        </w:rPr>
      </w:pPr>
      <w:bookmarkStart w:id="7" w:name="_Hlk66018687"/>
      <w:r>
        <w:rPr>
          <w:i/>
          <w:iCs/>
        </w:rPr>
        <w:t>8</w:t>
      </w:r>
      <w:r w:rsidR="008C0DA0" w:rsidRPr="00157C0B">
        <w:rPr>
          <w:i/>
          <w:iCs/>
        </w:rPr>
        <w:t xml:space="preserve"> </w:t>
      </w:r>
      <w:r w:rsidR="00674EF6" w:rsidRPr="00157C0B">
        <w:rPr>
          <w:i/>
          <w:iCs/>
        </w:rPr>
        <w:t>paveikslas. Ataskaitiniu laikotarpiu TLK suteiktų konsultacijų skaičius</w:t>
      </w:r>
      <w:r w:rsidR="00070B27" w:rsidRPr="00157C0B">
        <w:rPr>
          <w:i/>
          <w:iCs/>
        </w:rPr>
        <w:t>.</w:t>
      </w:r>
    </w:p>
    <w:bookmarkEnd w:id="7"/>
    <w:p w14:paraId="78FD6398" w14:textId="77777777" w:rsidR="00C84CC8" w:rsidRPr="00157C0B" w:rsidRDefault="00C84CC8" w:rsidP="00C84CC8">
      <w:pPr>
        <w:pStyle w:val="Default"/>
        <w:tabs>
          <w:tab w:val="left" w:pos="284"/>
          <w:tab w:val="left" w:pos="709"/>
          <w:tab w:val="left" w:pos="993"/>
        </w:tabs>
        <w:rPr>
          <w:i/>
          <w:iCs/>
        </w:rPr>
      </w:pPr>
    </w:p>
    <w:p w14:paraId="372A005A" w14:textId="419637B3" w:rsidR="000A0BF9" w:rsidRDefault="00DB2349" w:rsidP="00DB2349">
      <w:pPr>
        <w:spacing w:after="0" w:line="240" w:lineRule="auto"/>
        <w:ind w:firstLine="851"/>
        <w:jc w:val="both"/>
        <w:rPr>
          <w:rFonts w:ascii="Times New Roman" w:hAnsi="Times New Roman" w:cs="Times New Roman"/>
          <w:bCs/>
          <w:sz w:val="24"/>
          <w:szCs w:val="24"/>
        </w:rPr>
      </w:pPr>
      <w:r w:rsidRPr="00661D65">
        <w:rPr>
          <w:rFonts w:ascii="Times New Roman" w:hAnsi="Times New Roman" w:cs="Times New Roman"/>
          <w:b/>
          <w:sz w:val="24"/>
          <w:szCs w:val="24"/>
          <w:lang w:eastAsia="lt-LT"/>
        </w:rPr>
        <w:t xml:space="preserve">9. </w:t>
      </w:r>
      <w:r w:rsidR="00C84CC8" w:rsidRPr="00661D65">
        <w:rPr>
          <w:rFonts w:ascii="Times New Roman" w:hAnsi="Times New Roman" w:cs="Times New Roman"/>
          <w:b/>
          <w:sz w:val="24"/>
          <w:szCs w:val="24"/>
          <w:lang w:eastAsia="lt-LT"/>
        </w:rPr>
        <w:t>K</w:t>
      </w:r>
      <w:r w:rsidR="00C84CC8" w:rsidRPr="00661D65">
        <w:rPr>
          <w:rFonts w:ascii="Times New Roman" w:hAnsi="Times New Roman" w:cs="Times New Roman"/>
          <w:b/>
          <w:sz w:val="24"/>
          <w:szCs w:val="24"/>
        </w:rPr>
        <w:t xml:space="preserve">ontrolės procedūrų, inicijuotų stebėsenos duomenų pagrindu, dalis (proc.), palyginti su bendru atliktų </w:t>
      </w:r>
      <w:r w:rsidR="00C84CC8" w:rsidRPr="00661D65">
        <w:rPr>
          <w:rFonts w:ascii="Times New Roman" w:hAnsi="Times New Roman" w:cs="Times New Roman"/>
          <w:b/>
          <w:sz w:val="24"/>
          <w:szCs w:val="24"/>
          <w:lang w:eastAsia="lt-LT"/>
        </w:rPr>
        <w:t xml:space="preserve">kontrolės procedūrų </w:t>
      </w:r>
      <w:r w:rsidR="00C84CC8" w:rsidRPr="00661D65">
        <w:rPr>
          <w:rFonts w:ascii="Times New Roman" w:hAnsi="Times New Roman" w:cs="Times New Roman"/>
          <w:b/>
          <w:sz w:val="24"/>
          <w:szCs w:val="24"/>
        </w:rPr>
        <w:t>skaičiumi</w:t>
      </w:r>
      <w:r w:rsidR="00C84CC8" w:rsidRPr="00661D65">
        <w:rPr>
          <w:rFonts w:ascii="Times New Roman" w:hAnsi="Times New Roman" w:cs="Times New Roman"/>
          <w:sz w:val="24"/>
          <w:szCs w:val="24"/>
        </w:rPr>
        <w:t xml:space="preserve"> (</w:t>
      </w:r>
      <w:r w:rsidR="00C84CC8" w:rsidRPr="00661D65">
        <w:rPr>
          <w:rFonts w:ascii="Times New Roman" w:hAnsi="Times New Roman" w:cs="Times New Roman"/>
          <w:sz w:val="24"/>
          <w:szCs w:val="24"/>
          <w:lang w:eastAsia="lt-LT"/>
        </w:rPr>
        <w:t xml:space="preserve">siekiama perspektyvinio </w:t>
      </w:r>
      <w:r w:rsidR="00C84CC8" w:rsidRPr="00661D65">
        <w:rPr>
          <w:rFonts w:ascii="Times New Roman" w:hAnsi="Times New Roman" w:cs="Times New Roman"/>
          <w:color w:val="000000"/>
          <w:sz w:val="24"/>
          <w:szCs w:val="24"/>
          <w:lang w:eastAsia="lt-LT"/>
        </w:rPr>
        <w:t xml:space="preserve">šio rodiklio reikšmės </w:t>
      </w:r>
      <w:r w:rsidR="00C84CC8" w:rsidRPr="00661D65">
        <w:rPr>
          <w:rFonts w:ascii="Times New Roman" w:hAnsi="Times New Roman" w:cs="Times New Roman"/>
          <w:sz w:val="24"/>
          <w:szCs w:val="24"/>
          <w:lang w:eastAsia="lt-LT"/>
        </w:rPr>
        <w:t>didėjimo).</w:t>
      </w:r>
      <w:r w:rsidR="00D74026" w:rsidRPr="00661D65">
        <w:rPr>
          <w:rFonts w:ascii="Times New Roman" w:hAnsi="Times New Roman" w:cs="Times New Roman"/>
          <w:sz w:val="24"/>
          <w:szCs w:val="24"/>
        </w:rPr>
        <w:t xml:space="preserve"> </w:t>
      </w:r>
      <w:r w:rsidR="00E31723" w:rsidRPr="00661D65">
        <w:rPr>
          <w:rFonts w:ascii="Times New Roman" w:hAnsi="Times New Roman" w:cs="Times New Roman"/>
          <w:sz w:val="24"/>
          <w:szCs w:val="24"/>
        </w:rPr>
        <w:t>2024 metais 10,13 proc. padidėjo s</w:t>
      </w:r>
      <w:r w:rsidR="00D74026" w:rsidRPr="00661D65">
        <w:rPr>
          <w:rFonts w:ascii="Times New Roman" w:hAnsi="Times New Roman" w:cs="Times New Roman"/>
          <w:sz w:val="24"/>
          <w:szCs w:val="24"/>
          <w:lang w:eastAsia="lt-LT"/>
        </w:rPr>
        <w:t>tebėsenos duomenų pagrindu TLK inicij</w:t>
      </w:r>
      <w:r w:rsidR="00E31723" w:rsidRPr="00661D65">
        <w:rPr>
          <w:rFonts w:ascii="Times New Roman" w:hAnsi="Times New Roman" w:cs="Times New Roman"/>
          <w:sz w:val="24"/>
          <w:szCs w:val="24"/>
          <w:lang w:eastAsia="lt-LT"/>
        </w:rPr>
        <w:t>uotų</w:t>
      </w:r>
      <w:r w:rsidR="00D74026" w:rsidRPr="00661D65">
        <w:rPr>
          <w:rFonts w:ascii="Times New Roman" w:hAnsi="Times New Roman" w:cs="Times New Roman"/>
          <w:sz w:val="24"/>
          <w:szCs w:val="24"/>
          <w:lang w:eastAsia="lt-LT"/>
        </w:rPr>
        <w:t xml:space="preserve"> kontrolės </w:t>
      </w:r>
      <w:r w:rsidR="000B697C" w:rsidRPr="00661D65">
        <w:rPr>
          <w:rFonts w:ascii="Times New Roman" w:hAnsi="Times New Roman" w:cs="Times New Roman"/>
          <w:sz w:val="24"/>
          <w:szCs w:val="24"/>
          <w:lang w:eastAsia="lt-LT"/>
        </w:rPr>
        <w:t>procedūr</w:t>
      </w:r>
      <w:r w:rsidR="00E31723" w:rsidRPr="00661D65">
        <w:rPr>
          <w:rFonts w:ascii="Times New Roman" w:hAnsi="Times New Roman" w:cs="Times New Roman"/>
          <w:sz w:val="24"/>
          <w:szCs w:val="24"/>
          <w:lang w:eastAsia="lt-LT"/>
        </w:rPr>
        <w:t>ų – 174, o 2023 m. – 158 kontrolės procedūros.</w:t>
      </w:r>
      <w:r w:rsidR="000B697C" w:rsidRPr="00661D65">
        <w:rPr>
          <w:rFonts w:ascii="Times New Roman" w:hAnsi="Times New Roman" w:cs="Times New Roman"/>
          <w:sz w:val="24"/>
          <w:szCs w:val="24"/>
          <w:lang w:eastAsia="lt-LT"/>
        </w:rPr>
        <w:t xml:space="preserve"> </w:t>
      </w:r>
      <w:r w:rsidR="00E31723" w:rsidRPr="00661D65">
        <w:rPr>
          <w:rFonts w:ascii="Times New Roman" w:hAnsi="Times New Roman" w:cs="Times New Roman"/>
          <w:sz w:val="24"/>
          <w:szCs w:val="24"/>
          <w:lang w:eastAsia="lt-LT"/>
        </w:rPr>
        <w:t xml:space="preserve">2024 m. </w:t>
      </w:r>
      <w:r w:rsidR="00D74026" w:rsidRPr="00661D65">
        <w:rPr>
          <w:rFonts w:ascii="Times New Roman" w:hAnsi="Times New Roman" w:cs="Times New Roman"/>
          <w:sz w:val="24"/>
          <w:szCs w:val="24"/>
          <w:lang w:eastAsia="lt-LT"/>
        </w:rPr>
        <w:t xml:space="preserve">tai sudarė </w:t>
      </w:r>
      <w:r w:rsidR="00711925" w:rsidRPr="00661D65">
        <w:rPr>
          <w:rFonts w:ascii="Times New Roman" w:hAnsi="Times New Roman" w:cs="Times New Roman"/>
          <w:sz w:val="24"/>
          <w:szCs w:val="24"/>
          <w:lang w:eastAsia="lt-LT"/>
        </w:rPr>
        <w:t>40</w:t>
      </w:r>
      <w:r w:rsidR="00530723" w:rsidRPr="00661D65">
        <w:rPr>
          <w:rFonts w:ascii="Times New Roman" w:hAnsi="Times New Roman" w:cs="Times New Roman"/>
          <w:sz w:val="24"/>
          <w:szCs w:val="24"/>
          <w:lang w:eastAsia="lt-LT"/>
        </w:rPr>
        <w:t> </w:t>
      </w:r>
      <w:r w:rsidR="00D74026" w:rsidRPr="00661D65">
        <w:rPr>
          <w:rFonts w:ascii="Times New Roman" w:hAnsi="Times New Roman" w:cs="Times New Roman"/>
          <w:sz w:val="24"/>
          <w:szCs w:val="24"/>
          <w:lang w:eastAsia="lt-LT"/>
        </w:rPr>
        <w:t>proc</w:t>
      </w:r>
      <w:r w:rsidR="000B697C" w:rsidRPr="00661D65">
        <w:rPr>
          <w:rFonts w:ascii="Times New Roman" w:hAnsi="Times New Roman" w:cs="Times New Roman"/>
          <w:sz w:val="24"/>
          <w:szCs w:val="24"/>
        </w:rPr>
        <w:t xml:space="preserve">. </w:t>
      </w:r>
      <w:r w:rsidR="00D47D8F" w:rsidRPr="00661D65">
        <w:rPr>
          <w:rFonts w:ascii="Times New Roman" w:hAnsi="Times New Roman" w:cs="Times New Roman"/>
          <w:sz w:val="24"/>
          <w:szCs w:val="24"/>
        </w:rPr>
        <w:t>visų</w:t>
      </w:r>
      <w:r w:rsidR="00D74026" w:rsidRPr="00661D65">
        <w:rPr>
          <w:rFonts w:ascii="Times New Roman" w:hAnsi="Times New Roman" w:cs="Times New Roman"/>
          <w:sz w:val="24"/>
          <w:szCs w:val="24"/>
        </w:rPr>
        <w:t xml:space="preserve"> atliktų </w:t>
      </w:r>
      <w:r w:rsidR="00D74026" w:rsidRPr="00661D65">
        <w:rPr>
          <w:rFonts w:ascii="Times New Roman" w:hAnsi="Times New Roman" w:cs="Times New Roman"/>
          <w:sz w:val="24"/>
          <w:szCs w:val="24"/>
          <w:lang w:eastAsia="lt-LT"/>
        </w:rPr>
        <w:t>kontrolės procedūrų</w:t>
      </w:r>
      <w:r w:rsidR="002B1B24" w:rsidRPr="00661D65">
        <w:rPr>
          <w:rFonts w:ascii="Times New Roman" w:hAnsi="Times New Roman" w:cs="Times New Roman"/>
          <w:sz w:val="24"/>
          <w:szCs w:val="24"/>
          <w:lang w:eastAsia="lt-LT"/>
        </w:rPr>
        <w:t xml:space="preserve"> </w:t>
      </w:r>
      <w:r w:rsidR="002B1B24" w:rsidRPr="00661D65">
        <w:rPr>
          <w:rFonts w:ascii="Times New Roman" w:eastAsia="Calibri" w:hAnsi="Times New Roman" w:cs="Times New Roman"/>
          <w:sz w:val="24"/>
          <w:szCs w:val="24"/>
        </w:rPr>
        <w:t>(</w:t>
      </w:r>
      <w:r w:rsidR="0003054C" w:rsidRPr="00661D65">
        <w:rPr>
          <w:rFonts w:ascii="Times New Roman" w:eastAsia="Calibri" w:hAnsi="Times New Roman" w:cs="Times New Roman"/>
          <w:sz w:val="24"/>
          <w:szCs w:val="24"/>
        </w:rPr>
        <w:t xml:space="preserve">žr. </w:t>
      </w:r>
      <w:r w:rsidR="00A36A96" w:rsidRPr="00661D65">
        <w:rPr>
          <w:rFonts w:ascii="Times New Roman" w:eastAsia="Calibri" w:hAnsi="Times New Roman" w:cs="Times New Roman"/>
          <w:sz w:val="24"/>
          <w:szCs w:val="24"/>
        </w:rPr>
        <w:t>9</w:t>
      </w:r>
      <w:r w:rsidR="00003BB8" w:rsidRPr="00661D65">
        <w:rPr>
          <w:rFonts w:ascii="Times New Roman" w:eastAsia="Calibri" w:hAnsi="Times New Roman" w:cs="Times New Roman"/>
          <w:sz w:val="24"/>
          <w:szCs w:val="24"/>
        </w:rPr>
        <w:t xml:space="preserve"> </w:t>
      </w:r>
      <w:r w:rsidR="006C6C7B" w:rsidRPr="00661D65">
        <w:rPr>
          <w:rFonts w:ascii="Times New Roman" w:eastAsia="Calibri" w:hAnsi="Times New Roman" w:cs="Times New Roman"/>
          <w:sz w:val="24"/>
          <w:szCs w:val="24"/>
        </w:rPr>
        <w:t>paveikslą</w:t>
      </w:r>
      <w:r w:rsidR="0003054C" w:rsidRPr="00661D65">
        <w:rPr>
          <w:rFonts w:ascii="Times New Roman" w:eastAsia="Calibri" w:hAnsi="Times New Roman" w:cs="Times New Roman"/>
          <w:sz w:val="24"/>
          <w:szCs w:val="24"/>
        </w:rPr>
        <w:t>)</w:t>
      </w:r>
      <w:r w:rsidR="0003054C" w:rsidRPr="00661D65">
        <w:rPr>
          <w:rFonts w:ascii="Times New Roman" w:hAnsi="Times New Roman" w:cs="Times New Roman"/>
          <w:sz w:val="24"/>
          <w:szCs w:val="24"/>
          <w:lang w:eastAsia="lt-LT"/>
        </w:rPr>
        <w:t>.</w:t>
      </w:r>
      <w:r w:rsidR="0003054C" w:rsidRPr="00DB2349">
        <w:rPr>
          <w:rFonts w:ascii="Times New Roman" w:hAnsi="Times New Roman" w:cs="Times New Roman"/>
          <w:sz w:val="24"/>
          <w:szCs w:val="24"/>
          <w:lang w:eastAsia="lt-LT"/>
        </w:rPr>
        <w:t xml:space="preserve"> </w:t>
      </w:r>
      <w:r w:rsidR="000C5409" w:rsidRPr="00DB2349">
        <w:rPr>
          <w:rFonts w:ascii="Times New Roman" w:hAnsi="Times New Roman" w:cs="Times New Roman"/>
          <w:sz w:val="24"/>
          <w:szCs w:val="24"/>
          <w:lang w:eastAsia="lt-LT"/>
        </w:rPr>
        <w:t xml:space="preserve">Analizuojant </w:t>
      </w:r>
      <w:r w:rsidR="00B70B29" w:rsidRPr="00E31723">
        <w:rPr>
          <w:rFonts w:ascii="Times New Roman" w:hAnsi="Times New Roman" w:cs="Times New Roman"/>
          <w:sz w:val="24"/>
          <w:szCs w:val="24"/>
          <w:lang w:eastAsia="lt-LT"/>
        </w:rPr>
        <w:t>IS </w:t>
      </w:r>
      <w:r w:rsidR="000C5409" w:rsidRPr="00DB2349">
        <w:rPr>
          <w:rFonts w:ascii="Times New Roman" w:hAnsi="Times New Roman" w:cs="Times New Roman"/>
          <w:sz w:val="24"/>
          <w:szCs w:val="24"/>
          <w:lang w:eastAsia="lt-LT"/>
        </w:rPr>
        <w:t xml:space="preserve">„Sveidros“ duomenis, vis tikslingiau atrenkami atvejai, kurie gali būti pateikti apmokėjimui pažeidžiant nustatytą tvarką, todėl vis daugiau kontrolės procedūrų inicijuojama pagal stebėsenos duomenis. </w:t>
      </w:r>
      <w:r w:rsidR="00F14C2B" w:rsidRPr="00DB2349">
        <w:rPr>
          <w:rFonts w:ascii="Times New Roman" w:hAnsi="Times New Roman" w:cs="Times New Roman"/>
          <w:sz w:val="24"/>
          <w:szCs w:val="24"/>
          <w:lang w:eastAsia="lt-LT"/>
        </w:rPr>
        <w:t>Keičiant</w:t>
      </w:r>
      <w:r w:rsidR="000A0BF9" w:rsidRPr="00DB2349">
        <w:rPr>
          <w:rFonts w:ascii="Times New Roman" w:hAnsi="Times New Roman" w:cs="Times New Roman"/>
          <w:sz w:val="24"/>
          <w:szCs w:val="24"/>
        </w:rPr>
        <w:t xml:space="preserve"> </w:t>
      </w:r>
      <w:r w:rsidR="00E64B17" w:rsidRPr="00DB2349">
        <w:rPr>
          <w:rFonts w:ascii="Times New Roman" w:hAnsi="Times New Roman" w:cs="Times New Roman"/>
          <w:sz w:val="24"/>
          <w:szCs w:val="24"/>
        </w:rPr>
        <w:t>Aprašą</w:t>
      </w:r>
      <w:r w:rsidR="00F14C2B" w:rsidRPr="00DB2349">
        <w:rPr>
          <w:rFonts w:ascii="Times New Roman" w:hAnsi="Times New Roman" w:cs="Times New Roman"/>
          <w:sz w:val="24"/>
          <w:szCs w:val="24"/>
        </w:rPr>
        <w:t>,</w:t>
      </w:r>
      <w:r w:rsidR="000A0BF9" w:rsidRPr="00DB2349">
        <w:rPr>
          <w:rFonts w:ascii="Times New Roman" w:hAnsi="Times New Roman" w:cs="Times New Roman"/>
          <w:bCs/>
          <w:sz w:val="24"/>
          <w:szCs w:val="24"/>
        </w:rPr>
        <w:t xml:space="preserve"> </w:t>
      </w:r>
      <w:r w:rsidR="00F14C2B" w:rsidRPr="00DB2349">
        <w:rPr>
          <w:rFonts w:ascii="Times New Roman" w:hAnsi="Times New Roman" w:cs="Times New Roman"/>
          <w:bCs/>
          <w:sz w:val="24"/>
          <w:szCs w:val="24"/>
        </w:rPr>
        <w:t>buvo reglamentuota</w:t>
      </w:r>
      <w:r w:rsidR="000A0BF9" w:rsidRPr="00DB2349">
        <w:rPr>
          <w:rFonts w:ascii="Times New Roman" w:hAnsi="Times New Roman" w:cs="Times New Roman"/>
          <w:bCs/>
          <w:sz w:val="24"/>
          <w:szCs w:val="24"/>
        </w:rPr>
        <w:t xml:space="preserve"> </w:t>
      </w:r>
      <w:r w:rsidR="00783428" w:rsidRPr="00DB2349">
        <w:rPr>
          <w:rFonts w:ascii="Times New Roman" w:hAnsi="Times New Roman" w:cs="Times New Roman"/>
          <w:bCs/>
          <w:sz w:val="24"/>
          <w:szCs w:val="24"/>
        </w:rPr>
        <w:t xml:space="preserve">SNV </w:t>
      </w:r>
      <w:r w:rsidR="000A0BF9" w:rsidRPr="00DB2349">
        <w:rPr>
          <w:rFonts w:ascii="Times New Roman" w:hAnsi="Times New Roman" w:cs="Times New Roman"/>
          <w:bCs/>
          <w:sz w:val="24"/>
          <w:szCs w:val="24"/>
        </w:rPr>
        <w:t>procedūra, taik</w:t>
      </w:r>
      <w:r w:rsidR="00F14C2B" w:rsidRPr="00DB2349">
        <w:rPr>
          <w:rFonts w:ascii="Times New Roman" w:hAnsi="Times New Roman" w:cs="Times New Roman"/>
          <w:bCs/>
          <w:sz w:val="24"/>
          <w:szCs w:val="24"/>
        </w:rPr>
        <w:t xml:space="preserve">oma atlikus </w:t>
      </w:r>
      <w:r w:rsidR="00E64B17" w:rsidRPr="00DB2349">
        <w:rPr>
          <w:rFonts w:ascii="Times New Roman" w:hAnsi="Times New Roman" w:cs="Times New Roman"/>
          <w:bCs/>
          <w:sz w:val="24"/>
          <w:szCs w:val="24"/>
        </w:rPr>
        <w:t>duomenų stebėsen</w:t>
      </w:r>
      <w:r w:rsidR="00F14C2B" w:rsidRPr="00DB2349">
        <w:rPr>
          <w:rFonts w:ascii="Times New Roman" w:hAnsi="Times New Roman" w:cs="Times New Roman"/>
          <w:bCs/>
          <w:sz w:val="24"/>
          <w:szCs w:val="24"/>
        </w:rPr>
        <w:t>ą</w:t>
      </w:r>
      <w:r w:rsidR="00E64B17" w:rsidRPr="00DB2349">
        <w:rPr>
          <w:rFonts w:ascii="Times New Roman" w:hAnsi="Times New Roman" w:cs="Times New Roman"/>
          <w:bCs/>
          <w:sz w:val="24"/>
          <w:szCs w:val="24"/>
        </w:rPr>
        <w:t xml:space="preserve"> ir nustačius neatitiktis</w:t>
      </w:r>
      <w:r w:rsidR="000A0BF9" w:rsidRPr="00DB2349">
        <w:rPr>
          <w:rFonts w:ascii="Times New Roman" w:hAnsi="Times New Roman" w:cs="Times New Roman"/>
          <w:bCs/>
          <w:sz w:val="24"/>
          <w:szCs w:val="24"/>
        </w:rPr>
        <w:t xml:space="preserve">. </w:t>
      </w:r>
      <w:r w:rsidR="000C5409" w:rsidRPr="00661D65">
        <w:rPr>
          <w:rFonts w:ascii="Times New Roman" w:hAnsi="Times New Roman" w:cs="Times New Roman"/>
          <w:bCs/>
          <w:sz w:val="24"/>
          <w:szCs w:val="24"/>
        </w:rPr>
        <w:t xml:space="preserve">Visos </w:t>
      </w:r>
      <w:r w:rsidR="00456471">
        <w:rPr>
          <w:rFonts w:ascii="Times New Roman" w:hAnsi="Times New Roman" w:cs="Times New Roman"/>
          <w:bCs/>
          <w:sz w:val="24"/>
          <w:szCs w:val="24"/>
        </w:rPr>
        <w:t>SNV</w:t>
      </w:r>
      <w:r w:rsidR="000C5409" w:rsidRPr="00661D65">
        <w:rPr>
          <w:rFonts w:ascii="Times New Roman" w:hAnsi="Times New Roman" w:cs="Times New Roman"/>
          <w:bCs/>
          <w:sz w:val="24"/>
          <w:szCs w:val="24"/>
        </w:rPr>
        <w:t xml:space="preserve"> procedūros</w:t>
      </w:r>
      <w:r w:rsidR="000C5409" w:rsidRPr="00DB2349">
        <w:rPr>
          <w:rFonts w:ascii="Times New Roman" w:hAnsi="Times New Roman" w:cs="Times New Roman"/>
          <w:bCs/>
          <w:sz w:val="24"/>
          <w:szCs w:val="24"/>
        </w:rPr>
        <w:t xml:space="preserve"> </w:t>
      </w:r>
      <w:r w:rsidR="00456471">
        <w:rPr>
          <w:rFonts w:ascii="Times New Roman" w:hAnsi="Times New Roman" w:cs="Times New Roman"/>
          <w:bCs/>
          <w:sz w:val="24"/>
          <w:szCs w:val="24"/>
        </w:rPr>
        <w:t>taip pat</w:t>
      </w:r>
      <w:r w:rsidR="000C5409" w:rsidRPr="00DB2349">
        <w:rPr>
          <w:rFonts w:ascii="Times New Roman" w:hAnsi="Times New Roman" w:cs="Times New Roman"/>
          <w:bCs/>
          <w:sz w:val="24"/>
          <w:szCs w:val="24"/>
        </w:rPr>
        <w:t xml:space="preserve"> atliekamos stebėsenos duomenų pagrindu. </w:t>
      </w:r>
      <w:r w:rsidR="000B697C" w:rsidRPr="00DB2349">
        <w:rPr>
          <w:rFonts w:ascii="Times New Roman" w:hAnsi="Times New Roman" w:cs="Times New Roman"/>
          <w:bCs/>
          <w:sz w:val="24"/>
          <w:szCs w:val="24"/>
        </w:rPr>
        <w:t>2024 </w:t>
      </w:r>
      <w:r w:rsidR="000A0BF9" w:rsidRPr="00DB2349">
        <w:rPr>
          <w:rFonts w:ascii="Times New Roman" w:hAnsi="Times New Roman" w:cs="Times New Roman"/>
          <w:bCs/>
          <w:sz w:val="24"/>
          <w:szCs w:val="24"/>
        </w:rPr>
        <w:t xml:space="preserve">m. buvo atliktos </w:t>
      </w:r>
      <w:r w:rsidR="000B697C" w:rsidRPr="00DB2349">
        <w:rPr>
          <w:rFonts w:ascii="Times New Roman" w:hAnsi="Times New Roman" w:cs="Times New Roman"/>
          <w:bCs/>
          <w:sz w:val="24"/>
          <w:szCs w:val="24"/>
        </w:rPr>
        <w:t xml:space="preserve">673 </w:t>
      </w:r>
      <w:r w:rsidR="004274B9" w:rsidRPr="00DB2349">
        <w:rPr>
          <w:rFonts w:ascii="Times New Roman" w:hAnsi="Times New Roman" w:cs="Times New Roman"/>
          <w:bCs/>
          <w:sz w:val="24"/>
          <w:szCs w:val="24"/>
        </w:rPr>
        <w:t>supaprastintos neatitikčių vertinimo procedūros</w:t>
      </w:r>
      <w:r w:rsidR="00783428" w:rsidRPr="00DB2349">
        <w:rPr>
          <w:rFonts w:ascii="Times New Roman" w:hAnsi="Times New Roman" w:cs="Times New Roman"/>
          <w:bCs/>
          <w:sz w:val="24"/>
          <w:szCs w:val="24"/>
        </w:rPr>
        <w:t xml:space="preserve">, tai </w:t>
      </w:r>
      <w:r w:rsidR="000B697C" w:rsidRPr="00DB2349">
        <w:rPr>
          <w:rFonts w:ascii="Times New Roman" w:hAnsi="Times New Roman" w:cs="Times New Roman"/>
          <w:bCs/>
          <w:sz w:val="24"/>
          <w:szCs w:val="24"/>
        </w:rPr>
        <w:t>6,</w:t>
      </w:r>
      <w:r w:rsidR="000B697C" w:rsidRPr="00661D65">
        <w:rPr>
          <w:rFonts w:ascii="Times New Roman" w:hAnsi="Times New Roman" w:cs="Times New Roman"/>
          <w:bCs/>
          <w:sz w:val="24"/>
          <w:szCs w:val="24"/>
        </w:rPr>
        <w:t>3</w:t>
      </w:r>
      <w:r w:rsidR="001C037F">
        <w:rPr>
          <w:rFonts w:ascii="Times New Roman" w:hAnsi="Times New Roman" w:cs="Times New Roman"/>
          <w:bCs/>
          <w:sz w:val="24"/>
          <w:szCs w:val="24"/>
        </w:rPr>
        <w:t>2</w:t>
      </w:r>
      <w:r w:rsidR="00783428" w:rsidRPr="00DB2349">
        <w:rPr>
          <w:rFonts w:ascii="Times New Roman" w:hAnsi="Times New Roman" w:cs="Times New Roman"/>
          <w:bCs/>
          <w:sz w:val="24"/>
          <w:szCs w:val="24"/>
        </w:rPr>
        <w:t> </w:t>
      </w:r>
      <w:r w:rsidR="000B697C" w:rsidRPr="00DB2349">
        <w:rPr>
          <w:rFonts w:ascii="Times New Roman" w:hAnsi="Times New Roman" w:cs="Times New Roman"/>
          <w:bCs/>
          <w:sz w:val="24"/>
          <w:szCs w:val="24"/>
        </w:rPr>
        <w:t>proc.</w:t>
      </w:r>
      <w:r w:rsidR="00783428" w:rsidRPr="00DB2349">
        <w:rPr>
          <w:rFonts w:ascii="Times New Roman" w:hAnsi="Times New Roman" w:cs="Times New Roman"/>
          <w:bCs/>
          <w:sz w:val="24"/>
          <w:szCs w:val="24"/>
        </w:rPr>
        <w:t xml:space="preserve"> daugiau nei </w:t>
      </w:r>
      <w:r w:rsidR="000B697C" w:rsidRPr="00DB2349">
        <w:rPr>
          <w:rFonts w:ascii="Times New Roman" w:hAnsi="Times New Roman" w:cs="Times New Roman"/>
          <w:bCs/>
          <w:sz w:val="24"/>
          <w:szCs w:val="24"/>
        </w:rPr>
        <w:t xml:space="preserve">2023 m. </w:t>
      </w:r>
      <w:r w:rsidR="00783428" w:rsidRPr="00DB2349">
        <w:rPr>
          <w:rFonts w:ascii="Times New Roman" w:hAnsi="Times New Roman" w:cs="Times New Roman"/>
          <w:bCs/>
          <w:sz w:val="24"/>
          <w:szCs w:val="24"/>
        </w:rPr>
        <w:t>–</w:t>
      </w:r>
      <w:r w:rsidR="000B697C" w:rsidRPr="00DB2349">
        <w:rPr>
          <w:rFonts w:ascii="Times New Roman" w:hAnsi="Times New Roman" w:cs="Times New Roman"/>
          <w:bCs/>
          <w:sz w:val="24"/>
          <w:szCs w:val="24"/>
        </w:rPr>
        <w:t xml:space="preserve"> 633 procedūros</w:t>
      </w:r>
      <w:r w:rsidR="004274B9" w:rsidRPr="00DB2349">
        <w:rPr>
          <w:rFonts w:ascii="Times New Roman" w:hAnsi="Times New Roman" w:cs="Times New Roman"/>
          <w:bCs/>
          <w:sz w:val="24"/>
          <w:szCs w:val="24"/>
        </w:rPr>
        <w:t>.</w:t>
      </w:r>
    </w:p>
    <w:p w14:paraId="6BDD8941" w14:textId="77777777" w:rsidR="00D1370F" w:rsidRDefault="00D1370F" w:rsidP="00DB2349">
      <w:pPr>
        <w:spacing w:after="0" w:line="240" w:lineRule="auto"/>
        <w:ind w:firstLine="851"/>
        <w:jc w:val="both"/>
        <w:rPr>
          <w:rFonts w:ascii="Times New Roman" w:hAnsi="Times New Roman" w:cs="Times New Roman"/>
          <w:bCs/>
          <w:sz w:val="24"/>
          <w:szCs w:val="24"/>
        </w:rPr>
      </w:pPr>
    </w:p>
    <w:p w14:paraId="4FB8082F" w14:textId="682ABC36" w:rsidR="00A36A96" w:rsidRPr="00DB2349" w:rsidRDefault="00D1370F" w:rsidP="00D1370F">
      <w:pPr>
        <w:spacing w:after="0" w:line="240" w:lineRule="auto"/>
        <w:jc w:val="both"/>
        <w:rPr>
          <w:rFonts w:ascii="Times New Roman" w:hAnsi="Times New Roman" w:cs="Times New Roman"/>
          <w:bCs/>
          <w:sz w:val="24"/>
          <w:szCs w:val="24"/>
        </w:rPr>
      </w:pPr>
      <w:r w:rsidRPr="00661D65">
        <w:rPr>
          <w:rFonts w:ascii="Times New Roman" w:hAnsi="Times New Roman" w:cs="Times New Roman"/>
          <w:noProof/>
        </w:rPr>
        <w:drawing>
          <wp:inline distT="0" distB="0" distL="0" distR="0" wp14:anchorId="4A834998" wp14:editId="513D8F47">
            <wp:extent cx="6120130" cy="2880000"/>
            <wp:effectExtent l="0" t="0" r="13970" b="15875"/>
            <wp:docPr id="2053445215" name="Diagrama 1">
              <a:extLst xmlns:a="http://schemas.openxmlformats.org/drawingml/2006/main">
                <a:ext uri="{FF2B5EF4-FFF2-40B4-BE49-F238E27FC236}">
                  <a16:creationId xmlns:a16="http://schemas.microsoft.com/office/drawing/2014/main" id="{59760901-E4B1-44F4-A8C8-BD8FA7897C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4310F94" w14:textId="5DA2A7A3" w:rsidR="0003054C" w:rsidRPr="00157C0B" w:rsidRDefault="00A36A96" w:rsidP="00C128D6">
      <w:pPr>
        <w:pStyle w:val="Default"/>
        <w:rPr>
          <w:i/>
          <w:iCs/>
        </w:rPr>
      </w:pPr>
      <w:r>
        <w:rPr>
          <w:i/>
          <w:iCs/>
          <w:color w:val="auto"/>
        </w:rPr>
        <w:t>9</w:t>
      </w:r>
      <w:r w:rsidR="008C0DA0" w:rsidRPr="00157C0B">
        <w:rPr>
          <w:i/>
          <w:iCs/>
          <w:color w:val="auto"/>
        </w:rPr>
        <w:t xml:space="preserve"> </w:t>
      </w:r>
      <w:r w:rsidR="0003054C" w:rsidRPr="00157C0B">
        <w:rPr>
          <w:i/>
          <w:iCs/>
        </w:rPr>
        <w:t>paveikslas. Kontrolės procedūrų, inicijuotų stebėsenos duomenų pagrindu, procentas pagal TLK ir šalies mastu</w:t>
      </w:r>
      <w:r w:rsidR="00070B27" w:rsidRPr="00157C0B">
        <w:rPr>
          <w:i/>
          <w:iCs/>
        </w:rPr>
        <w:t>.</w:t>
      </w:r>
    </w:p>
    <w:p w14:paraId="6FEDC0C1" w14:textId="77777777" w:rsidR="008C0DA0" w:rsidRPr="00157C0B" w:rsidRDefault="008C0DA0" w:rsidP="00C17998">
      <w:pPr>
        <w:pStyle w:val="Default"/>
        <w:tabs>
          <w:tab w:val="left" w:pos="0"/>
          <w:tab w:val="left" w:pos="142"/>
          <w:tab w:val="left" w:pos="993"/>
        </w:tabs>
        <w:ind w:firstLine="709"/>
        <w:jc w:val="center"/>
        <w:rPr>
          <w:i/>
          <w:iCs/>
          <w:color w:val="auto"/>
        </w:rPr>
      </w:pPr>
    </w:p>
    <w:p w14:paraId="1D965CF3" w14:textId="42D89B13" w:rsidR="00C44ACE" w:rsidRDefault="00DB2349" w:rsidP="00DB2349">
      <w:pPr>
        <w:pStyle w:val="Default"/>
        <w:ind w:firstLine="851"/>
        <w:jc w:val="both"/>
        <w:rPr>
          <w:rFonts w:eastAsiaTheme="minorEastAsia"/>
          <w:color w:val="000000" w:themeColor="text1"/>
          <w:kern w:val="24"/>
        </w:rPr>
      </w:pPr>
      <w:r>
        <w:rPr>
          <w:b/>
        </w:rPr>
        <w:t xml:space="preserve">10. </w:t>
      </w:r>
      <w:r w:rsidR="00C44ACE" w:rsidRPr="00157C0B">
        <w:rPr>
          <w:b/>
        </w:rPr>
        <w:t>Rotacinių kontrolės procedūrų dalis</w:t>
      </w:r>
      <w:r w:rsidR="00FB34D6" w:rsidRPr="00157C0B">
        <w:rPr>
          <w:b/>
        </w:rPr>
        <w:t xml:space="preserve"> (proc.)</w:t>
      </w:r>
      <w:r w:rsidR="00C44ACE" w:rsidRPr="00157C0B">
        <w:rPr>
          <w:b/>
        </w:rPr>
        <w:t>, palyginti su bendru kontrolės procedūrų skaičiumi</w:t>
      </w:r>
      <w:r w:rsidR="001E2CD1" w:rsidRPr="00157C0B">
        <w:rPr>
          <w:b/>
        </w:rPr>
        <w:t xml:space="preserve"> </w:t>
      </w:r>
      <w:r w:rsidR="001E2CD1" w:rsidRPr="00157C0B">
        <w:rPr>
          <w:bCs/>
        </w:rPr>
        <w:t>(s</w:t>
      </w:r>
      <w:r w:rsidR="00C44ACE" w:rsidRPr="00157C0B">
        <w:rPr>
          <w:rFonts w:eastAsiaTheme="minorEastAsia"/>
          <w:color w:val="000000" w:themeColor="text1"/>
          <w:kern w:val="24"/>
        </w:rPr>
        <w:t xml:space="preserve">iektina reikšmė </w:t>
      </w:r>
      <w:bookmarkStart w:id="8" w:name="_Hlk133230228"/>
      <w:r w:rsidR="001E2CD1" w:rsidRPr="00157C0B">
        <w:rPr>
          <w:rFonts w:eastAsiaTheme="minorEastAsia"/>
          <w:color w:val="000000" w:themeColor="text1"/>
          <w:kern w:val="24"/>
        </w:rPr>
        <w:t>–</w:t>
      </w:r>
      <w:bookmarkEnd w:id="8"/>
      <w:r w:rsidR="00C44ACE" w:rsidRPr="00157C0B">
        <w:rPr>
          <w:rFonts w:eastAsiaTheme="minorEastAsia"/>
          <w:color w:val="000000" w:themeColor="text1"/>
          <w:kern w:val="24"/>
        </w:rPr>
        <w:t xml:space="preserve"> ne mažiau 3</w:t>
      </w:r>
      <w:r w:rsidR="003D4684">
        <w:rPr>
          <w:rFonts w:eastAsiaTheme="minorEastAsia"/>
          <w:color w:val="000000" w:themeColor="text1"/>
          <w:kern w:val="24"/>
        </w:rPr>
        <w:t> </w:t>
      </w:r>
      <w:r w:rsidR="00C44ACE" w:rsidRPr="00157C0B">
        <w:rPr>
          <w:rFonts w:eastAsiaTheme="minorEastAsia"/>
          <w:color w:val="000000" w:themeColor="text1"/>
          <w:kern w:val="24"/>
        </w:rPr>
        <w:t xml:space="preserve">proc. </w:t>
      </w:r>
      <w:r w:rsidR="004C65DB" w:rsidRPr="00157C0B">
        <w:rPr>
          <w:rFonts w:eastAsiaTheme="minorEastAsia"/>
          <w:color w:val="000000" w:themeColor="text1"/>
          <w:kern w:val="24"/>
        </w:rPr>
        <w:t>visų vertinamuoju laikotarpiu atl</w:t>
      </w:r>
      <w:r w:rsidR="0079518C" w:rsidRPr="00157C0B">
        <w:rPr>
          <w:rFonts w:eastAsiaTheme="minorEastAsia"/>
          <w:color w:val="000000" w:themeColor="text1"/>
          <w:kern w:val="24"/>
        </w:rPr>
        <w:t>i</w:t>
      </w:r>
      <w:r w:rsidR="004C65DB" w:rsidRPr="00157C0B">
        <w:rPr>
          <w:rFonts w:eastAsiaTheme="minorEastAsia"/>
          <w:color w:val="000000" w:themeColor="text1"/>
          <w:kern w:val="24"/>
        </w:rPr>
        <w:t>ktų</w:t>
      </w:r>
      <w:r w:rsidR="0079518C" w:rsidRPr="00157C0B">
        <w:rPr>
          <w:rFonts w:eastAsiaTheme="minorEastAsia"/>
          <w:color w:val="000000" w:themeColor="text1"/>
          <w:kern w:val="24"/>
        </w:rPr>
        <w:t xml:space="preserve"> </w:t>
      </w:r>
      <w:r w:rsidR="00C44ACE" w:rsidRPr="00157C0B">
        <w:rPr>
          <w:rFonts w:eastAsiaTheme="minorEastAsia"/>
          <w:color w:val="000000" w:themeColor="text1"/>
          <w:kern w:val="24"/>
        </w:rPr>
        <w:t>kontrolės procedūrų</w:t>
      </w:r>
      <w:r w:rsidR="001E2CD1" w:rsidRPr="00157C0B">
        <w:rPr>
          <w:rFonts w:eastAsiaTheme="minorEastAsia"/>
          <w:color w:val="000000" w:themeColor="text1"/>
          <w:kern w:val="24"/>
        </w:rPr>
        <w:t>)</w:t>
      </w:r>
      <w:r w:rsidR="002740DB" w:rsidRPr="00157C0B">
        <w:rPr>
          <w:rFonts w:eastAsiaTheme="minorEastAsia"/>
          <w:color w:val="000000" w:themeColor="text1"/>
          <w:kern w:val="24"/>
        </w:rPr>
        <w:t>.</w:t>
      </w:r>
      <w:r w:rsidR="001E2CD1" w:rsidRPr="00157C0B">
        <w:rPr>
          <w:rFonts w:eastAsiaTheme="minorEastAsia"/>
          <w:color w:val="000000" w:themeColor="text1"/>
          <w:kern w:val="24"/>
        </w:rPr>
        <w:t xml:space="preserve"> 202</w:t>
      </w:r>
      <w:r w:rsidR="00183657">
        <w:rPr>
          <w:rFonts w:eastAsiaTheme="minorEastAsia"/>
          <w:color w:val="000000" w:themeColor="text1"/>
          <w:kern w:val="24"/>
        </w:rPr>
        <w:t>4</w:t>
      </w:r>
      <w:r w:rsidR="00634682">
        <w:rPr>
          <w:rFonts w:eastAsiaTheme="minorEastAsia"/>
          <w:color w:val="000000" w:themeColor="text1"/>
          <w:kern w:val="24"/>
        </w:rPr>
        <w:t> </w:t>
      </w:r>
      <w:r w:rsidR="001E2CD1" w:rsidRPr="00157C0B">
        <w:rPr>
          <w:rFonts w:eastAsiaTheme="minorEastAsia"/>
          <w:color w:val="000000" w:themeColor="text1"/>
          <w:kern w:val="24"/>
        </w:rPr>
        <w:t xml:space="preserve">m. </w:t>
      </w:r>
      <w:r w:rsidR="00CA7C78" w:rsidRPr="00157C0B">
        <w:rPr>
          <w:rFonts w:eastAsiaTheme="minorEastAsia"/>
          <w:color w:val="000000" w:themeColor="text1"/>
          <w:kern w:val="24"/>
        </w:rPr>
        <w:t xml:space="preserve">šio </w:t>
      </w:r>
      <w:r w:rsidR="001E2CD1" w:rsidRPr="00157C0B">
        <w:rPr>
          <w:rFonts w:eastAsiaTheme="minorEastAsia"/>
          <w:color w:val="000000" w:themeColor="text1"/>
          <w:kern w:val="24"/>
        </w:rPr>
        <w:t xml:space="preserve">rodiklio reikšmė </w:t>
      </w:r>
      <w:r w:rsidR="00FD5A49" w:rsidRPr="00157C0B">
        <w:rPr>
          <w:rFonts w:eastAsiaTheme="minorEastAsia"/>
          <w:color w:val="000000" w:themeColor="text1"/>
          <w:kern w:val="24"/>
        </w:rPr>
        <w:t xml:space="preserve">šalies mastu </w:t>
      </w:r>
      <w:r w:rsidR="00183657">
        <w:rPr>
          <w:rFonts w:eastAsiaTheme="minorEastAsia"/>
          <w:color w:val="000000" w:themeColor="text1"/>
          <w:kern w:val="24"/>
        </w:rPr>
        <w:t xml:space="preserve">padidėjo </w:t>
      </w:r>
      <w:r w:rsidR="0034529A">
        <w:rPr>
          <w:rFonts w:eastAsiaTheme="minorEastAsia"/>
          <w:color w:val="000000" w:themeColor="text1"/>
          <w:kern w:val="24"/>
        </w:rPr>
        <w:t>iki</w:t>
      </w:r>
      <w:r w:rsidR="001E2CD1" w:rsidRPr="00157C0B">
        <w:t xml:space="preserve"> </w:t>
      </w:r>
      <w:r w:rsidR="00183657">
        <w:t>5</w:t>
      </w:r>
      <w:r w:rsidR="006F4A8F">
        <w:t> </w:t>
      </w:r>
      <w:r w:rsidR="001E2CD1" w:rsidRPr="00157C0B">
        <w:t>proc.</w:t>
      </w:r>
      <w:r w:rsidR="00183657">
        <w:t xml:space="preserve">, o 2023 m. </w:t>
      </w:r>
      <w:r w:rsidR="0034529A">
        <w:t>buvo</w:t>
      </w:r>
      <w:r w:rsidR="00183657">
        <w:t xml:space="preserve"> </w:t>
      </w:r>
      <w:r w:rsidR="00183657">
        <w:lastRenderedPageBreak/>
        <w:t>3</w:t>
      </w:r>
      <w:r w:rsidR="003D4684">
        <w:t> </w:t>
      </w:r>
      <w:r w:rsidR="00183657">
        <w:t>proc.</w:t>
      </w:r>
      <w:r w:rsidR="001E2CD1" w:rsidRPr="00157C0B">
        <w:t xml:space="preserve"> </w:t>
      </w:r>
      <w:r w:rsidR="000301F0" w:rsidRPr="00157C0B">
        <w:rPr>
          <w:rFonts w:eastAsiaTheme="minorEastAsia"/>
          <w:color w:val="000000" w:themeColor="text1"/>
          <w:kern w:val="24"/>
        </w:rPr>
        <w:t xml:space="preserve">(žr. </w:t>
      </w:r>
      <w:r w:rsidR="00A36A96">
        <w:rPr>
          <w:rFonts w:eastAsiaTheme="minorEastAsia"/>
          <w:color w:val="000000" w:themeColor="text1"/>
          <w:kern w:val="24"/>
        </w:rPr>
        <w:t>10</w:t>
      </w:r>
      <w:r w:rsidR="00A36A96" w:rsidRPr="00157C0B">
        <w:rPr>
          <w:rFonts w:eastAsiaTheme="minorEastAsia"/>
          <w:color w:val="000000" w:themeColor="text1"/>
          <w:kern w:val="24"/>
        </w:rPr>
        <w:t xml:space="preserve"> </w:t>
      </w:r>
      <w:r w:rsidR="000301F0" w:rsidRPr="00157C0B">
        <w:rPr>
          <w:rFonts w:eastAsiaTheme="minorEastAsia"/>
          <w:color w:val="000000" w:themeColor="text1"/>
          <w:kern w:val="24"/>
        </w:rPr>
        <w:t>paveikslą)</w:t>
      </w:r>
      <w:r w:rsidR="00A308B6" w:rsidRPr="00157C0B">
        <w:rPr>
          <w:rFonts w:eastAsiaTheme="minorEastAsia"/>
          <w:color w:val="000000" w:themeColor="text1"/>
          <w:kern w:val="24"/>
        </w:rPr>
        <w:t>.</w:t>
      </w:r>
      <w:r w:rsidR="00A308B6" w:rsidRPr="00157C0B">
        <w:t xml:space="preserve"> </w:t>
      </w:r>
      <w:bookmarkStart w:id="9" w:name="_Hlk132883111"/>
      <w:r w:rsidR="00A308B6" w:rsidRPr="00157C0B">
        <w:rPr>
          <w:rFonts w:eastAsiaTheme="minorEastAsia"/>
          <w:color w:val="000000" w:themeColor="text1"/>
          <w:kern w:val="24"/>
        </w:rPr>
        <w:t>202</w:t>
      </w:r>
      <w:r w:rsidR="006F4A8F">
        <w:rPr>
          <w:rFonts w:eastAsiaTheme="minorEastAsia"/>
          <w:color w:val="000000" w:themeColor="text1"/>
          <w:kern w:val="24"/>
        </w:rPr>
        <w:t>4</w:t>
      </w:r>
      <w:r w:rsidR="00634682">
        <w:rPr>
          <w:rFonts w:eastAsiaTheme="minorEastAsia"/>
          <w:color w:val="000000" w:themeColor="text1"/>
          <w:kern w:val="24"/>
        </w:rPr>
        <w:t> </w:t>
      </w:r>
      <w:r w:rsidR="00A308B6" w:rsidRPr="00157C0B">
        <w:rPr>
          <w:rFonts w:eastAsiaTheme="minorEastAsia"/>
          <w:color w:val="000000" w:themeColor="text1"/>
          <w:kern w:val="24"/>
        </w:rPr>
        <w:t>m.</w:t>
      </w:r>
      <w:r w:rsidR="004A6AE3" w:rsidRPr="00157C0B">
        <w:rPr>
          <w:rFonts w:eastAsiaTheme="minorEastAsia"/>
          <w:color w:val="000000" w:themeColor="text1"/>
          <w:kern w:val="24"/>
        </w:rPr>
        <w:t xml:space="preserve"> TLK</w:t>
      </w:r>
      <w:r w:rsidR="00A308B6" w:rsidRPr="00157C0B">
        <w:rPr>
          <w:rFonts w:eastAsiaTheme="minorEastAsia"/>
          <w:color w:val="000000" w:themeColor="text1"/>
          <w:kern w:val="24"/>
        </w:rPr>
        <w:t xml:space="preserve"> iš viso atlik</w:t>
      </w:r>
      <w:r w:rsidR="004A6AE3" w:rsidRPr="00157C0B">
        <w:rPr>
          <w:rFonts w:eastAsiaTheme="minorEastAsia"/>
          <w:color w:val="000000" w:themeColor="text1"/>
          <w:kern w:val="24"/>
        </w:rPr>
        <w:t>o</w:t>
      </w:r>
      <w:r w:rsidR="00A308B6" w:rsidRPr="00157C0B">
        <w:rPr>
          <w:rFonts w:eastAsiaTheme="minorEastAsia"/>
          <w:color w:val="000000" w:themeColor="text1"/>
          <w:kern w:val="24"/>
        </w:rPr>
        <w:t xml:space="preserve"> </w:t>
      </w:r>
      <w:r w:rsidR="006F4A8F">
        <w:rPr>
          <w:rFonts w:eastAsiaTheme="minorEastAsia"/>
          <w:color w:val="000000" w:themeColor="text1"/>
          <w:kern w:val="24"/>
        </w:rPr>
        <w:t>21</w:t>
      </w:r>
      <w:r w:rsidR="006F4A8F" w:rsidRPr="00157C0B">
        <w:rPr>
          <w:rFonts w:eastAsiaTheme="minorEastAsia"/>
          <w:color w:val="000000" w:themeColor="text1"/>
          <w:kern w:val="24"/>
        </w:rPr>
        <w:t xml:space="preserve"> </w:t>
      </w:r>
      <w:r w:rsidR="00A308B6" w:rsidRPr="00157C0B">
        <w:rPr>
          <w:rFonts w:eastAsiaTheme="minorEastAsia"/>
          <w:color w:val="000000" w:themeColor="text1"/>
          <w:kern w:val="24"/>
        </w:rPr>
        <w:t>rotacin</w:t>
      </w:r>
      <w:r w:rsidR="00DA6C13">
        <w:rPr>
          <w:rFonts w:eastAsiaTheme="minorEastAsia"/>
          <w:color w:val="000000" w:themeColor="text1"/>
          <w:kern w:val="24"/>
        </w:rPr>
        <w:t>ę</w:t>
      </w:r>
      <w:r w:rsidR="004A6AE3" w:rsidRPr="00157C0B">
        <w:rPr>
          <w:rFonts w:eastAsiaTheme="minorEastAsia"/>
          <w:color w:val="000000" w:themeColor="text1"/>
          <w:kern w:val="24"/>
        </w:rPr>
        <w:t xml:space="preserve"> kontrolės</w:t>
      </w:r>
      <w:r w:rsidR="00A308B6" w:rsidRPr="00157C0B">
        <w:rPr>
          <w:rFonts w:eastAsiaTheme="minorEastAsia"/>
          <w:color w:val="000000" w:themeColor="text1"/>
          <w:kern w:val="24"/>
        </w:rPr>
        <w:t xml:space="preserve"> procedūr</w:t>
      </w:r>
      <w:r w:rsidR="00DA6C13">
        <w:rPr>
          <w:rFonts w:eastAsiaTheme="minorEastAsia"/>
          <w:color w:val="000000" w:themeColor="text1"/>
          <w:kern w:val="24"/>
        </w:rPr>
        <w:t>ą</w:t>
      </w:r>
      <w:r w:rsidR="00183657">
        <w:rPr>
          <w:rFonts w:eastAsiaTheme="minorEastAsia"/>
          <w:color w:val="000000" w:themeColor="text1"/>
          <w:kern w:val="24"/>
        </w:rPr>
        <w:t>, palyginus su 2023 m.</w:t>
      </w:r>
      <w:r w:rsidR="003D4684">
        <w:rPr>
          <w:rFonts w:eastAsiaTheme="minorEastAsia"/>
          <w:color w:val="000000" w:themeColor="text1"/>
          <w:kern w:val="24"/>
        </w:rPr>
        <w:t>, kai buvo atliktos tik 9 –</w:t>
      </w:r>
      <w:r w:rsidR="00DA6C13">
        <w:rPr>
          <w:rFonts w:eastAsiaTheme="minorEastAsia"/>
          <w:color w:val="000000" w:themeColor="text1"/>
          <w:kern w:val="24"/>
        </w:rPr>
        <w:t xml:space="preserve"> </w:t>
      </w:r>
      <w:r w:rsidR="00183657">
        <w:rPr>
          <w:rFonts w:eastAsiaTheme="minorEastAsia"/>
          <w:color w:val="000000" w:themeColor="text1"/>
          <w:kern w:val="24"/>
        </w:rPr>
        <w:t xml:space="preserve">padidėjo </w:t>
      </w:r>
      <w:r w:rsidR="00EA46E0">
        <w:rPr>
          <w:rFonts w:eastAsiaTheme="minorEastAsia"/>
          <w:color w:val="000000" w:themeColor="text1"/>
          <w:kern w:val="24"/>
        </w:rPr>
        <w:t>2,3</w:t>
      </w:r>
      <w:r w:rsidR="00183657">
        <w:rPr>
          <w:rFonts w:eastAsiaTheme="minorEastAsia"/>
          <w:color w:val="000000" w:themeColor="text1"/>
          <w:kern w:val="24"/>
        </w:rPr>
        <w:t xml:space="preserve"> kart</w:t>
      </w:r>
      <w:r w:rsidR="00A32276">
        <w:rPr>
          <w:rFonts w:eastAsiaTheme="minorEastAsia"/>
          <w:color w:val="000000" w:themeColor="text1"/>
          <w:kern w:val="24"/>
        </w:rPr>
        <w:t>o</w:t>
      </w:r>
      <w:r w:rsidR="00183657">
        <w:rPr>
          <w:rFonts w:eastAsiaTheme="minorEastAsia"/>
          <w:color w:val="000000" w:themeColor="text1"/>
          <w:kern w:val="24"/>
        </w:rPr>
        <w:t xml:space="preserve">. </w:t>
      </w:r>
    </w:p>
    <w:p w14:paraId="7F523769" w14:textId="77777777" w:rsidR="00E43383" w:rsidRDefault="00E43383" w:rsidP="00DB2349">
      <w:pPr>
        <w:pStyle w:val="Default"/>
        <w:ind w:firstLine="851"/>
        <w:jc w:val="both"/>
        <w:rPr>
          <w:rFonts w:eastAsiaTheme="minorEastAsia"/>
          <w:color w:val="000000" w:themeColor="text1"/>
          <w:kern w:val="24"/>
        </w:rPr>
      </w:pPr>
    </w:p>
    <w:p w14:paraId="147E50AE" w14:textId="243E8A9F" w:rsidR="00783428" w:rsidRDefault="00783428" w:rsidP="00783428">
      <w:pPr>
        <w:pStyle w:val="Default"/>
        <w:jc w:val="both"/>
        <w:rPr>
          <w:rFonts w:eastAsiaTheme="minorEastAsia"/>
          <w:color w:val="000000" w:themeColor="text1"/>
          <w:kern w:val="24"/>
        </w:rPr>
      </w:pPr>
      <w:r>
        <w:rPr>
          <w:noProof/>
        </w:rPr>
        <w:drawing>
          <wp:inline distT="0" distB="0" distL="0" distR="0" wp14:anchorId="0E58C02B" wp14:editId="16F30BB5">
            <wp:extent cx="6120000" cy="2880000"/>
            <wp:effectExtent l="0" t="0" r="14605" b="15875"/>
            <wp:docPr id="1263067090" name="Diagrama 1">
              <a:extLst xmlns:a="http://schemas.openxmlformats.org/drawingml/2006/main">
                <a:ext uri="{FF2B5EF4-FFF2-40B4-BE49-F238E27FC236}">
                  <a16:creationId xmlns:a16="http://schemas.microsoft.com/office/drawing/2014/main" id="{21A80E8C-3CFD-430B-A338-1C02600CF1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bookmarkEnd w:id="9"/>
    <w:p w14:paraId="38527F32" w14:textId="264DCAED" w:rsidR="000301F0" w:rsidRPr="00157C0B" w:rsidRDefault="00A36A96" w:rsidP="00C128D6">
      <w:pPr>
        <w:spacing w:after="0" w:line="240" w:lineRule="auto"/>
        <w:rPr>
          <w:rFonts w:ascii="Times New Roman" w:hAnsi="Times New Roman" w:cs="Times New Roman"/>
          <w:sz w:val="24"/>
          <w:szCs w:val="24"/>
        </w:rPr>
      </w:pPr>
      <w:r>
        <w:rPr>
          <w:rFonts w:ascii="Times New Roman" w:hAnsi="Times New Roman" w:cs="Times New Roman"/>
          <w:i/>
          <w:iCs/>
          <w:sz w:val="24"/>
          <w:szCs w:val="24"/>
        </w:rPr>
        <w:t>10</w:t>
      </w:r>
      <w:r w:rsidRPr="00157C0B">
        <w:rPr>
          <w:rFonts w:ascii="Times New Roman" w:hAnsi="Times New Roman" w:cs="Times New Roman"/>
          <w:i/>
          <w:iCs/>
          <w:sz w:val="24"/>
          <w:szCs w:val="24"/>
        </w:rPr>
        <w:t xml:space="preserve"> </w:t>
      </w:r>
      <w:r w:rsidR="00FB34D6" w:rsidRPr="00157C0B">
        <w:rPr>
          <w:rFonts w:ascii="Times New Roman" w:hAnsi="Times New Roman" w:cs="Times New Roman"/>
          <w:i/>
          <w:iCs/>
          <w:sz w:val="24"/>
          <w:szCs w:val="24"/>
        </w:rPr>
        <w:t>paveikslas. Rotacinių k</w:t>
      </w:r>
      <w:r w:rsidR="0003054C" w:rsidRPr="00157C0B">
        <w:rPr>
          <w:rFonts w:ascii="Times New Roman" w:hAnsi="Times New Roman" w:cs="Times New Roman"/>
          <w:i/>
          <w:iCs/>
          <w:sz w:val="24"/>
          <w:szCs w:val="24"/>
        </w:rPr>
        <w:t>ontrolės procedūrų</w:t>
      </w:r>
      <w:r w:rsidR="00FB34D6" w:rsidRPr="00157C0B">
        <w:rPr>
          <w:rFonts w:ascii="Times New Roman" w:hAnsi="Times New Roman" w:cs="Times New Roman"/>
          <w:i/>
          <w:iCs/>
          <w:sz w:val="24"/>
          <w:szCs w:val="24"/>
        </w:rPr>
        <w:t xml:space="preserve"> dalis procentais</w:t>
      </w:r>
      <w:r w:rsidR="00CA7C78" w:rsidRPr="00157C0B">
        <w:rPr>
          <w:rFonts w:ascii="Times New Roman" w:hAnsi="Times New Roman" w:cs="Times New Roman"/>
          <w:i/>
          <w:iCs/>
          <w:sz w:val="24"/>
          <w:szCs w:val="24"/>
        </w:rPr>
        <w:t>,</w:t>
      </w:r>
      <w:r w:rsidR="00FB34D6" w:rsidRPr="00157C0B">
        <w:rPr>
          <w:rFonts w:ascii="Times New Roman" w:hAnsi="Times New Roman" w:cs="Times New Roman"/>
          <w:i/>
          <w:iCs/>
          <w:sz w:val="24"/>
          <w:szCs w:val="24"/>
        </w:rPr>
        <w:t xml:space="preserve"> palygi</w:t>
      </w:r>
      <w:r w:rsidR="00CA7C78" w:rsidRPr="00157C0B">
        <w:rPr>
          <w:rFonts w:ascii="Times New Roman" w:hAnsi="Times New Roman" w:cs="Times New Roman"/>
          <w:i/>
          <w:iCs/>
          <w:sz w:val="24"/>
          <w:szCs w:val="24"/>
        </w:rPr>
        <w:t>nti</w:t>
      </w:r>
      <w:r w:rsidR="00FB34D6" w:rsidRPr="00157C0B">
        <w:rPr>
          <w:rFonts w:ascii="Times New Roman" w:hAnsi="Times New Roman" w:cs="Times New Roman"/>
          <w:i/>
          <w:iCs/>
          <w:sz w:val="24"/>
          <w:szCs w:val="24"/>
        </w:rPr>
        <w:t xml:space="preserve"> su bendru kontrolės procedūrų skaičiumi pagal TLK ir šalies mastu</w:t>
      </w:r>
      <w:r w:rsidR="00CA7C78" w:rsidRPr="00157C0B">
        <w:rPr>
          <w:rFonts w:ascii="Times New Roman" w:hAnsi="Times New Roman" w:cs="Times New Roman"/>
          <w:i/>
          <w:iCs/>
          <w:sz w:val="24"/>
          <w:szCs w:val="24"/>
        </w:rPr>
        <w:t>.</w:t>
      </w:r>
    </w:p>
    <w:p w14:paraId="4FE661C0" w14:textId="77777777" w:rsidR="00A308B6" w:rsidRPr="00157C0B" w:rsidRDefault="00A308B6" w:rsidP="00C44ACE">
      <w:pPr>
        <w:tabs>
          <w:tab w:val="left" w:pos="709"/>
          <w:tab w:val="left" w:pos="3402"/>
        </w:tabs>
        <w:spacing w:after="0" w:line="240" w:lineRule="auto"/>
        <w:jc w:val="both"/>
        <w:rPr>
          <w:rFonts w:ascii="Times New Roman" w:hAnsi="Times New Roman" w:cs="Times New Roman"/>
          <w:color w:val="000000"/>
          <w:sz w:val="24"/>
          <w:szCs w:val="24"/>
        </w:rPr>
      </w:pPr>
    </w:p>
    <w:p w14:paraId="5440F29E" w14:textId="22F5E5CD" w:rsidR="00CF3A46" w:rsidRPr="00157C0B" w:rsidRDefault="00F30CA4" w:rsidP="00E43383">
      <w:pPr>
        <w:tabs>
          <w:tab w:val="left" w:pos="3402"/>
        </w:tabs>
        <w:spacing w:after="0" w:line="240" w:lineRule="auto"/>
        <w:ind w:firstLine="851"/>
        <w:jc w:val="both"/>
        <w:rPr>
          <w:rFonts w:ascii="Times New Roman" w:hAnsi="Times New Roman" w:cs="Times New Roman"/>
          <w:sz w:val="24"/>
          <w:szCs w:val="24"/>
        </w:rPr>
      </w:pPr>
      <w:r w:rsidRPr="00157C0B">
        <w:rPr>
          <w:rFonts w:ascii="Times New Roman" w:eastAsiaTheme="majorEastAsia" w:hAnsi="Times New Roman" w:cs="Times New Roman"/>
          <w:b/>
          <w:bCs/>
          <w:kern w:val="24"/>
          <w:sz w:val="24"/>
          <w:szCs w:val="24"/>
        </w:rPr>
        <w:t>11</w:t>
      </w:r>
      <w:r w:rsidR="008C0DA0" w:rsidRPr="00157C0B">
        <w:rPr>
          <w:rFonts w:ascii="Times New Roman" w:eastAsiaTheme="majorEastAsia" w:hAnsi="Times New Roman" w:cs="Times New Roman"/>
          <w:b/>
          <w:bCs/>
          <w:kern w:val="24"/>
          <w:sz w:val="24"/>
          <w:szCs w:val="24"/>
        </w:rPr>
        <w:t xml:space="preserve">. </w:t>
      </w:r>
      <w:r w:rsidR="00FB34D6" w:rsidRPr="00157C0B">
        <w:rPr>
          <w:rFonts w:ascii="Times New Roman" w:eastAsiaTheme="majorEastAsia" w:hAnsi="Times New Roman" w:cs="Times New Roman"/>
          <w:b/>
          <w:bCs/>
          <w:kern w:val="24"/>
          <w:sz w:val="24"/>
          <w:szCs w:val="24"/>
        </w:rPr>
        <w:t>Į VLK direktoriaus įsakymu patvirtintų prioritetinių kontrolės krypčių sąrašą įrašytų kontrolės krypčių, pagal kurias vertinamuoju laikotarpiu buvo atliekamos kontrolės procedūros, dalis (proc.), palyginti su bendru į šį sąrašą įrašytų kontrolės krypčių skaičiumi</w:t>
      </w:r>
      <w:r w:rsidR="00FB34D6" w:rsidRPr="00157C0B">
        <w:rPr>
          <w:rFonts w:ascii="Times New Roman" w:eastAsiaTheme="majorEastAsia" w:hAnsi="Times New Roman" w:cs="Times New Roman"/>
          <w:kern w:val="24"/>
          <w:sz w:val="24"/>
          <w:szCs w:val="24"/>
        </w:rPr>
        <w:t xml:space="preserve"> (siekiama perspektyvinio</w:t>
      </w:r>
      <w:r w:rsidR="002769A5" w:rsidRPr="00157C0B">
        <w:rPr>
          <w:rFonts w:ascii="Times New Roman" w:eastAsiaTheme="majorEastAsia" w:hAnsi="Times New Roman" w:cs="Times New Roman"/>
          <w:kern w:val="24"/>
          <w:sz w:val="24"/>
          <w:szCs w:val="24"/>
        </w:rPr>
        <w:t xml:space="preserve"> šio rodiklio reikšmės</w:t>
      </w:r>
      <w:r w:rsidR="00FB34D6" w:rsidRPr="00157C0B">
        <w:rPr>
          <w:rFonts w:ascii="Times New Roman" w:eastAsiaTheme="majorEastAsia" w:hAnsi="Times New Roman" w:cs="Times New Roman"/>
          <w:kern w:val="24"/>
          <w:sz w:val="24"/>
          <w:szCs w:val="24"/>
        </w:rPr>
        <w:t xml:space="preserve"> didėjimo).</w:t>
      </w:r>
      <w:r w:rsidR="00432301" w:rsidRPr="00157C0B">
        <w:rPr>
          <w:rFonts w:ascii="Times New Roman" w:hAnsi="Times New Roman" w:cs="Times New Roman"/>
          <w:sz w:val="24"/>
          <w:szCs w:val="24"/>
        </w:rPr>
        <w:t xml:space="preserve"> TLK 202</w:t>
      </w:r>
      <w:r w:rsidR="00574842">
        <w:rPr>
          <w:rFonts w:ascii="Times New Roman" w:hAnsi="Times New Roman" w:cs="Times New Roman"/>
          <w:sz w:val="24"/>
          <w:szCs w:val="24"/>
        </w:rPr>
        <w:t>4 </w:t>
      </w:r>
      <w:r w:rsidR="00432301" w:rsidRPr="00157C0B">
        <w:rPr>
          <w:rFonts w:ascii="Times New Roman" w:hAnsi="Times New Roman" w:cs="Times New Roman"/>
          <w:sz w:val="24"/>
          <w:szCs w:val="24"/>
        </w:rPr>
        <w:t>m. vykdė kontrol</w:t>
      </w:r>
      <w:r w:rsidR="00CA7C78" w:rsidRPr="00157C0B">
        <w:rPr>
          <w:rFonts w:ascii="Times New Roman" w:hAnsi="Times New Roman" w:cs="Times New Roman"/>
          <w:sz w:val="24"/>
          <w:szCs w:val="24"/>
        </w:rPr>
        <w:t>ės procedūras</w:t>
      </w:r>
      <w:r w:rsidR="00432301" w:rsidRPr="00157C0B">
        <w:rPr>
          <w:rFonts w:ascii="Times New Roman" w:hAnsi="Times New Roman" w:cs="Times New Roman"/>
          <w:sz w:val="24"/>
          <w:szCs w:val="24"/>
        </w:rPr>
        <w:t xml:space="preserve"> pagal visas VLK direktoriaus </w:t>
      </w:r>
      <w:r w:rsidR="00574842" w:rsidRPr="00574842">
        <w:rPr>
          <w:rFonts w:ascii="Times New Roman" w:hAnsi="Times New Roman" w:cs="Times New Roman"/>
          <w:sz w:val="24"/>
          <w:szCs w:val="24"/>
        </w:rPr>
        <w:t>2023</w:t>
      </w:r>
      <w:r w:rsidR="00574842">
        <w:rPr>
          <w:rFonts w:ascii="Times New Roman" w:hAnsi="Times New Roman" w:cs="Times New Roman"/>
          <w:sz w:val="24"/>
          <w:szCs w:val="24"/>
        </w:rPr>
        <w:t> </w:t>
      </w:r>
      <w:r w:rsidR="00574842" w:rsidRPr="00574842">
        <w:rPr>
          <w:rFonts w:ascii="Times New Roman" w:hAnsi="Times New Roman" w:cs="Times New Roman"/>
          <w:sz w:val="24"/>
          <w:szCs w:val="24"/>
        </w:rPr>
        <w:t>m. gruodžio 22</w:t>
      </w:r>
      <w:r w:rsidR="00574842">
        <w:rPr>
          <w:rFonts w:ascii="Times New Roman" w:hAnsi="Times New Roman" w:cs="Times New Roman"/>
          <w:sz w:val="24"/>
          <w:szCs w:val="24"/>
        </w:rPr>
        <w:t> </w:t>
      </w:r>
      <w:r w:rsidR="00574842" w:rsidRPr="00574842">
        <w:rPr>
          <w:rFonts w:ascii="Times New Roman" w:hAnsi="Times New Roman" w:cs="Times New Roman"/>
          <w:sz w:val="24"/>
          <w:szCs w:val="24"/>
        </w:rPr>
        <w:t>d. įsakymu Nr.</w:t>
      </w:r>
      <w:r w:rsidR="00574842">
        <w:rPr>
          <w:rFonts w:ascii="Times New Roman" w:hAnsi="Times New Roman" w:cs="Times New Roman"/>
          <w:sz w:val="24"/>
          <w:szCs w:val="24"/>
        </w:rPr>
        <w:t> </w:t>
      </w:r>
      <w:r w:rsidR="00574842" w:rsidRPr="00574842">
        <w:rPr>
          <w:rFonts w:ascii="Times New Roman" w:hAnsi="Times New Roman" w:cs="Times New Roman"/>
          <w:sz w:val="24"/>
          <w:szCs w:val="24"/>
        </w:rPr>
        <w:t>1K-411</w:t>
      </w:r>
      <w:r w:rsidR="00574842">
        <w:rPr>
          <w:rFonts w:ascii="Times New Roman" w:hAnsi="Times New Roman" w:cs="Times New Roman"/>
          <w:sz w:val="24"/>
          <w:szCs w:val="24"/>
        </w:rPr>
        <w:t xml:space="preserve"> „</w:t>
      </w:r>
      <w:r w:rsidR="00574842" w:rsidRPr="00574842">
        <w:rPr>
          <w:rFonts w:ascii="Times New Roman" w:hAnsi="Times New Roman" w:cs="Times New Roman"/>
          <w:sz w:val="24"/>
          <w:szCs w:val="24"/>
        </w:rPr>
        <w:t>Dėl 2024 metų prioritetinių teritorinių ligonių kasų vykdomos ūkio subjektų veiklos priežiūros krypčių sąrašo patvirtinimo</w:t>
      </w:r>
      <w:r w:rsidR="00574842">
        <w:rPr>
          <w:rFonts w:ascii="Times New Roman" w:hAnsi="Times New Roman" w:cs="Times New Roman"/>
          <w:sz w:val="24"/>
          <w:szCs w:val="24"/>
        </w:rPr>
        <w:t>“</w:t>
      </w:r>
      <w:r w:rsidR="00432301" w:rsidRPr="00157C0B">
        <w:rPr>
          <w:rFonts w:ascii="Times New Roman" w:hAnsi="Times New Roman" w:cs="Times New Roman"/>
          <w:sz w:val="24"/>
          <w:szCs w:val="24"/>
        </w:rPr>
        <w:t xml:space="preserve"> nustatytas kontrolės kryptis. </w:t>
      </w:r>
      <w:r w:rsidR="00CA7C78" w:rsidRPr="00157C0B">
        <w:rPr>
          <w:rFonts w:ascii="Times New Roman" w:eastAsia="Calibri" w:hAnsi="Times New Roman" w:cs="Times New Roman"/>
          <w:sz w:val="24"/>
          <w:szCs w:val="24"/>
        </w:rPr>
        <w:t>Kontrolės procedūrų</w:t>
      </w:r>
      <w:r w:rsidR="00D84309" w:rsidRPr="00157C0B">
        <w:rPr>
          <w:rFonts w:ascii="Times New Roman" w:eastAsia="Calibri" w:hAnsi="Times New Roman" w:cs="Times New Roman"/>
          <w:sz w:val="24"/>
          <w:szCs w:val="24"/>
        </w:rPr>
        <w:t xml:space="preserve"> vykdymo </w:t>
      </w:r>
      <w:r w:rsidR="00CA7C78" w:rsidRPr="00157C0B">
        <w:rPr>
          <w:rFonts w:ascii="Times New Roman" w:eastAsia="Calibri" w:hAnsi="Times New Roman" w:cs="Times New Roman"/>
          <w:sz w:val="24"/>
          <w:szCs w:val="24"/>
        </w:rPr>
        <w:t>mastas (</w:t>
      </w:r>
      <w:r w:rsidR="00D84309" w:rsidRPr="00157C0B">
        <w:rPr>
          <w:rFonts w:ascii="Times New Roman" w:eastAsia="Calibri" w:hAnsi="Times New Roman" w:cs="Times New Roman"/>
          <w:sz w:val="24"/>
          <w:szCs w:val="24"/>
        </w:rPr>
        <w:t>proc</w:t>
      </w:r>
      <w:r w:rsidR="002769A5" w:rsidRPr="00157C0B">
        <w:rPr>
          <w:rFonts w:ascii="Times New Roman" w:eastAsia="Calibri" w:hAnsi="Times New Roman" w:cs="Times New Roman"/>
          <w:sz w:val="24"/>
          <w:szCs w:val="24"/>
        </w:rPr>
        <w:t>.</w:t>
      </w:r>
      <w:r w:rsidR="00CA7C78" w:rsidRPr="00157C0B">
        <w:rPr>
          <w:rFonts w:ascii="Times New Roman" w:eastAsia="Calibri" w:hAnsi="Times New Roman" w:cs="Times New Roman"/>
          <w:sz w:val="24"/>
          <w:szCs w:val="24"/>
        </w:rPr>
        <w:t>)</w:t>
      </w:r>
      <w:r w:rsidR="00D84309" w:rsidRPr="00157C0B">
        <w:rPr>
          <w:rFonts w:ascii="Times New Roman" w:eastAsia="Calibri" w:hAnsi="Times New Roman" w:cs="Times New Roman"/>
          <w:sz w:val="24"/>
          <w:szCs w:val="24"/>
        </w:rPr>
        <w:t xml:space="preserve"> </w:t>
      </w:r>
      <w:r w:rsidR="00574842">
        <w:rPr>
          <w:rFonts w:ascii="Times New Roman" w:eastAsia="Calibri" w:hAnsi="Times New Roman" w:cs="Times New Roman"/>
          <w:sz w:val="24"/>
          <w:szCs w:val="24"/>
        </w:rPr>
        <w:t xml:space="preserve">2024 m., kaip ir </w:t>
      </w:r>
      <w:r w:rsidR="00583346" w:rsidRPr="00157C0B">
        <w:rPr>
          <w:rFonts w:ascii="Times New Roman" w:eastAsia="Calibri" w:hAnsi="Times New Roman" w:cs="Times New Roman"/>
          <w:sz w:val="24"/>
          <w:szCs w:val="24"/>
        </w:rPr>
        <w:t>202</w:t>
      </w:r>
      <w:r w:rsidR="00F8041C" w:rsidRPr="00157C0B">
        <w:rPr>
          <w:rFonts w:ascii="Times New Roman" w:eastAsia="Calibri" w:hAnsi="Times New Roman" w:cs="Times New Roman"/>
          <w:sz w:val="24"/>
          <w:szCs w:val="24"/>
        </w:rPr>
        <w:t>3</w:t>
      </w:r>
      <w:r w:rsidR="00574842">
        <w:rPr>
          <w:rFonts w:ascii="Times New Roman" w:eastAsia="Calibri" w:hAnsi="Times New Roman" w:cs="Times New Roman"/>
          <w:sz w:val="24"/>
          <w:szCs w:val="24"/>
        </w:rPr>
        <w:t> </w:t>
      </w:r>
      <w:r w:rsidR="00583346" w:rsidRPr="00157C0B">
        <w:rPr>
          <w:rFonts w:ascii="Times New Roman" w:eastAsia="Calibri" w:hAnsi="Times New Roman" w:cs="Times New Roman"/>
          <w:sz w:val="24"/>
          <w:szCs w:val="24"/>
        </w:rPr>
        <w:t xml:space="preserve">m. </w:t>
      </w:r>
      <w:r w:rsidR="00574842">
        <w:rPr>
          <w:rFonts w:ascii="Times New Roman" w:eastAsia="Calibri" w:hAnsi="Times New Roman" w:cs="Times New Roman"/>
          <w:sz w:val="24"/>
          <w:szCs w:val="24"/>
        </w:rPr>
        <w:t>bei</w:t>
      </w:r>
      <w:r w:rsidR="000A0BF9" w:rsidRPr="00157C0B">
        <w:rPr>
          <w:rFonts w:ascii="Times New Roman" w:eastAsia="Calibri" w:hAnsi="Times New Roman" w:cs="Times New Roman"/>
          <w:sz w:val="24"/>
          <w:szCs w:val="24"/>
        </w:rPr>
        <w:t xml:space="preserve"> </w:t>
      </w:r>
      <w:r w:rsidR="00F8041C" w:rsidRPr="00157C0B">
        <w:rPr>
          <w:rFonts w:ascii="Times New Roman" w:eastAsia="Calibri" w:hAnsi="Times New Roman" w:cs="Times New Roman"/>
          <w:sz w:val="24"/>
          <w:szCs w:val="24"/>
        </w:rPr>
        <w:t>2022</w:t>
      </w:r>
      <w:r w:rsidR="00574842">
        <w:rPr>
          <w:rFonts w:ascii="Times New Roman" w:eastAsia="Calibri" w:hAnsi="Times New Roman" w:cs="Times New Roman"/>
          <w:sz w:val="24"/>
          <w:szCs w:val="24"/>
        </w:rPr>
        <w:t> </w:t>
      </w:r>
      <w:r w:rsidR="00F8041C" w:rsidRPr="00157C0B">
        <w:rPr>
          <w:rFonts w:ascii="Times New Roman" w:eastAsia="Calibri" w:hAnsi="Times New Roman" w:cs="Times New Roman"/>
          <w:sz w:val="24"/>
          <w:szCs w:val="24"/>
        </w:rPr>
        <w:t>m.</w:t>
      </w:r>
      <w:r w:rsidR="00574842">
        <w:rPr>
          <w:rFonts w:ascii="Times New Roman" w:eastAsia="Calibri" w:hAnsi="Times New Roman" w:cs="Times New Roman"/>
          <w:sz w:val="24"/>
          <w:szCs w:val="24"/>
        </w:rPr>
        <w:t>, buvo</w:t>
      </w:r>
      <w:r w:rsidR="00F8041C" w:rsidRPr="00157C0B">
        <w:rPr>
          <w:rFonts w:ascii="Times New Roman" w:eastAsia="Calibri" w:hAnsi="Times New Roman" w:cs="Times New Roman"/>
          <w:sz w:val="24"/>
          <w:szCs w:val="24"/>
        </w:rPr>
        <w:t xml:space="preserve"> – 100 proc., </w:t>
      </w:r>
      <w:r w:rsidR="000A0BF9" w:rsidRPr="00157C0B">
        <w:rPr>
          <w:rFonts w:ascii="Times New Roman" w:eastAsia="Calibri" w:hAnsi="Times New Roman" w:cs="Times New Roman"/>
          <w:sz w:val="24"/>
          <w:szCs w:val="24"/>
        </w:rPr>
        <w:t>2021 m.</w:t>
      </w:r>
      <w:r w:rsidR="002769A5" w:rsidRPr="00157C0B">
        <w:rPr>
          <w:rFonts w:ascii="Times New Roman" w:eastAsia="Calibri" w:hAnsi="Times New Roman" w:cs="Times New Roman"/>
          <w:sz w:val="24"/>
          <w:szCs w:val="24"/>
        </w:rPr>
        <w:t xml:space="preserve"> </w:t>
      </w:r>
      <w:r w:rsidR="002769A5" w:rsidRPr="00157C0B">
        <w:rPr>
          <w:rFonts w:ascii="Times New Roman" w:eastAsiaTheme="minorEastAsia" w:hAnsi="Times New Roman" w:cs="Times New Roman"/>
          <w:color w:val="000000" w:themeColor="text1"/>
          <w:kern w:val="24"/>
          <w:sz w:val="24"/>
          <w:szCs w:val="24"/>
        </w:rPr>
        <w:t>–</w:t>
      </w:r>
      <w:r w:rsidR="000A0BF9" w:rsidRPr="00157C0B">
        <w:rPr>
          <w:rFonts w:ascii="Times New Roman" w:eastAsia="Calibri" w:hAnsi="Times New Roman" w:cs="Times New Roman"/>
          <w:sz w:val="24"/>
          <w:szCs w:val="24"/>
        </w:rPr>
        <w:t xml:space="preserve"> </w:t>
      </w:r>
      <w:r w:rsidR="00583346" w:rsidRPr="00157C0B">
        <w:rPr>
          <w:rFonts w:ascii="Times New Roman" w:eastAsia="Calibri" w:hAnsi="Times New Roman" w:cs="Times New Roman"/>
          <w:sz w:val="24"/>
          <w:szCs w:val="24"/>
        </w:rPr>
        <w:t>95 proc.</w:t>
      </w:r>
      <w:r w:rsidR="00E91971" w:rsidRPr="00157C0B">
        <w:rPr>
          <w:rFonts w:ascii="Times New Roman" w:eastAsia="Calibri" w:hAnsi="Times New Roman" w:cs="Times New Roman"/>
          <w:sz w:val="24"/>
          <w:szCs w:val="24"/>
        </w:rPr>
        <w:t xml:space="preserve"> </w:t>
      </w:r>
    </w:p>
    <w:p w14:paraId="1ECEAF33" w14:textId="0D3412B2" w:rsidR="00DB2349" w:rsidRPr="00022F7F" w:rsidRDefault="00F30CA4" w:rsidP="00E43383">
      <w:pPr>
        <w:pStyle w:val="Sraopastraipa"/>
        <w:tabs>
          <w:tab w:val="left" w:pos="709"/>
          <w:tab w:val="left" w:pos="1276"/>
          <w:tab w:val="left" w:pos="3402"/>
        </w:tabs>
        <w:spacing w:after="0" w:line="240" w:lineRule="auto"/>
        <w:ind w:left="0" w:firstLine="851"/>
        <w:jc w:val="both"/>
        <w:rPr>
          <w:rFonts w:ascii="Times New Roman" w:hAnsi="Times New Roman" w:cs="Times New Roman"/>
          <w:sz w:val="24"/>
          <w:szCs w:val="24"/>
        </w:rPr>
      </w:pPr>
      <w:bookmarkStart w:id="10" w:name="_Hlk34062915"/>
      <w:r w:rsidRPr="00661D65">
        <w:rPr>
          <w:rFonts w:ascii="Times New Roman" w:hAnsi="Times New Roman" w:cs="Times New Roman"/>
          <w:b/>
          <w:sz w:val="24"/>
          <w:szCs w:val="24"/>
        </w:rPr>
        <w:t>12</w:t>
      </w:r>
      <w:r w:rsidR="00D15A82" w:rsidRPr="00661D65">
        <w:rPr>
          <w:rFonts w:ascii="Times New Roman" w:hAnsi="Times New Roman" w:cs="Times New Roman"/>
          <w:b/>
          <w:sz w:val="24"/>
          <w:szCs w:val="24"/>
        </w:rPr>
        <w:t xml:space="preserve">. </w:t>
      </w:r>
      <w:r w:rsidR="00E02D14" w:rsidRPr="00661D65">
        <w:rPr>
          <w:rFonts w:ascii="Times New Roman" w:hAnsi="Times New Roman" w:cs="Times New Roman"/>
          <w:b/>
          <w:sz w:val="24"/>
          <w:szCs w:val="24"/>
        </w:rPr>
        <w:t xml:space="preserve">Aukšto </w:t>
      </w:r>
      <w:r w:rsidR="00307FA4" w:rsidRPr="00661D65">
        <w:rPr>
          <w:rFonts w:ascii="Times New Roman" w:hAnsi="Times New Roman" w:cs="Times New Roman"/>
          <w:b/>
          <w:sz w:val="24"/>
          <w:szCs w:val="24"/>
        </w:rPr>
        <w:t>veiklos</w:t>
      </w:r>
      <w:r w:rsidR="00E02D14" w:rsidRPr="00661D65">
        <w:rPr>
          <w:rFonts w:ascii="Times New Roman" w:hAnsi="Times New Roman" w:cs="Times New Roman"/>
          <w:b/>
          <w:sz w:val="24"/>
          <w:szCs w:val="24"/>
        </w:rPr>
        <w:t xml:space="preserve"> rizikos lygio įstaigų ir įmonių </w:t>
      </w:r>
      <w:bookmarkEnd w:id="10"/>
      <w:r w:rsidR="00E02D14" w:rsidRPr="00661D65">
        <w:rPr>
          <w:rFonts w:ascii="Times New Roman" w:hAnsi="Times New Roman" w:cs="Times New Roman"/>
          <w:b/>
          <w:sz w:val="24"/>
          <w:szCs w:val="24"/>
        </w:rPr>
        <w:t xml:space="preserve">patikrinimų vertinamuoju laikotarpiu dalis (proc.), palyginti su visais šiuo laikotarpiu atliktais patikrinimais </w:t>
      </w:r>
      <w:r w:rsidR="00E02D14" w:rsidRPr="00661D65">
        <w:rPr>
          <w:rFonts w:ascii="Times New Roman" w:hAnsi="Times New Roman" w:cs="Times New Roman"/>
          <w:sz w:val="24"/>
          <w:szCs w:val="24"/>
        </w:rPr>
        <w:t xml:space="preserve">(siekiama šio rodiklio reikšmės didėjimo). </w:t>
      </w:r>
      <w:r w:rsidR="00C92BC7" w:rsidRPr="00661D65">
        <w:rPr>
          <w:rFonts w:ascii="Times New Roman" w:hAnsi="Times New Roman" w:cs="Times New Roman"/>
          <w:sz w:val="24"/>
          <w:szCs w:val="24"/>
        </w:rPr>
        <w:t>202</w:t>
      </w:r>
      <w:r w:rsidR="004A6AB8" w:rsidRPr="00661D65">
        <w:rPr>
          <w:rFonts w:ascii="Times New Roman" w:hAnsi="Times New Roman" w:cs="Times New Roman"/>
          <w:sz w:val="24"/>
          <w:szCs w:val="24"/>
        </w:rPr>
        <w:t>4 </w:t>
      </w:r>
      <w:r w:rsidR="00C92BC7" w:rsidRPr="00661D65">
        <w:rPr>
          <w:rFonts w:ascii="Times New Roman" w:hAnsi="Times New Roman" w:cs="Times New Roman"/>
          <w:sz w:val="24"/>
          <w:szCs w:val="24"/>
        </w:rPr>
        <w:t xml:space="preserve">m. </w:t>
      </w:r>
      <w:r w:rsidR="00C92BC7" w:rsidRPr="00022F7F">
        <w:rPr>
          <w:rFonts w:ascii="Times New Roman" w:hAnsi="Times New Roman" w:cs="Times New Roman"/>
          <w:iCs/>
          <w:sz w:val="24"/>
          <w:szCs w:val="24"/>
        </w:rPr>
        <w:t xml:space="preserve">buvo </w:t>
      </w:r>
      <w:r w:rsidR="00B63760" w:rsidRPr="00022F7F">
        <w:rPr>
          <w:rFonts w:ascii="Times New Roman" w:hAnsi="Times New Roman" w:cs="Times New Roman"/>
          <w:iCs/>
          <w:sz w:val="24"/>
          <w:szCs w:val="24"/>
        </w:rPr>
        <w:t>patikrinti</w:t>
      </w:r>
      <w:r w:rsidR="0028684B" w:rsidRPr="00022F7F">
        <w:rPr>
          <w:rFonts w:ascii="Times New Roman" w:hAnsi="Times New Roman" w:cs="Times New Roman"/>
          <w:iCs/>
          <w:sz w:val="24"/>
          <w:szCs w:val="24"/>
        </w:rPr>
        <w:t xml:space="preserve"> </w:t>
      </w:r>
      <w:r w:rsidR="00312B87" w:rsidRPr="00022F7F">
        <w:rPr>
          <w:rFonts w:ascii="Times New Roman" w:hAnsi="Times New Roman" w:cs="Times New Roman"/>
          <w:iCs/>
          <w:sz w:val="24"/>
          <w:szCs w:val="24"/>
        </w:rPr>
        <w:t>25</w:t>
      </w:r>
      <w:r w:rsidR="00634C3F" w:rsidRPr="00022F7F">
        <w:rPr>
          <w:rFonts w:ascii="Times New Roman" w:hAnsi="Times New Roman" w:cs="Times New Roman"/>
          <w:iCs/>
          <w:sz w:val="24"/>
          <w:szCs w:val="24"/>
        </w:rPr>
        <w:t>5</w:t>
      </w:r>
      <w:r w:rsidR="0028684B" w:rsidRPr="00022F7F">
        <w:rPr>
          <w:rFonts w:ascii="Times New Roman" w:hAnsi="Times New Roman" w:cs="Times New Roman"/>
          <w:sz w:val="24"/>
          <w:szCs w:val="24"/>
        </w:rPr>
        <w:t xml:space="preserve"> </w:t>
      </w:r>
      <w:r w:rsidR="00035524" w:rsidRPr="00022F7F">
        <w:rPr>
          <w:rFonts w:ascii="Times New Roman" w:hAnsi="Times New Roman" w:cs="Times New Roman"/>
          <w:sz w:val="24"/>
          <w:szCs w:val="24"/>
        </w:rPr>
        <w:t xml:space="preserve">ūkio </w:t>
      </w:r>
      <w:r w:rsidR="00035524" w:rsidRPr="00022F7F">
        <w:rPr>
          <w:rFonts w:ascii="Times New Roman" w:hAnsi="Times New Roman" w:cs="Times New Roman"/>
          <w:iCs/>
          <w:sz w:val="24"/>
          <w:szCs w:val="24"/>
        </w:rPr>
        <w:t>subjekt</w:t>
      </w:r>
      <w:r w:rsidR="00B63760" w:rsidRPr="00022F7F">
        <w:rPr>
          <w:rFonts w:ascii="Times New Roman" w:hAnsi="Times New Roman" w:cs="Times New Roman"/>
          <w:iCs/>
          <w:sz w:val="24"/>
          <w:szCs w:val="24"/>
        </w:rPr>
        <w:t>ai</w:t>
      </w:r>
      <w:r w:rsidR="002769A5" w:rsidRPr="00022F7F">
        <w:rPr>
          <w:rFonts w:ascii="Times New Roman" w:hAnsi="Times New Roman" w:cs="Times New Roman"/>
          <w:sz w:val="24"/>
          <w:szCs w:val="24"/>
        </w:rPr>
        <w:t>,</w:t>
      </w:r>
      <w:r w:rsidR="00035524" w:rsidRPr="00022F7F">
        <w:rPr>
          <w:rFonts w:ascii="Times New Roman" w:hAnsi="Times New Roman" w:cs="Times New Roman"/>
          <w:sz w:val="24"/>
          <w:szCs w:val="24"/>
        </w:rPr>
        <w:t xml:space="preserve"> kuri</w:t>
      </w:r>
      <w:r w:rsidR="002769A5" w:rsidRPr="00022F7F">
        <w:rPr>
          <w:rFonts w:ascii="Times New Roman" w:hAnsi="Times New Roman" w:cs="Times New Roman"/>
          <w:sz w:val="24"/>
          <w:szCs w:val="24"/>
        </w:rPr>
        <w:t>ų</w:t>
      </w:r>
      <w:r w:rsidR="00E02D14" w:rsidRPr="00022F7F">
        <w:rPr>
          <w:rFonts w:ascii="Times New Roman" w:hAnsi="Times New Roman" w:cs="Times New Roman"/>
          <w:sz w:val="24"/>
          <w:szCs w:val="24"/>
        </w:rPr>
        <w:t xml:space="preserve"> </w:t>
      </w:r>
      <w:r w:rsidR="00960C6D" w:rsidRPr="00022F7F">
        <w:rPr>
          <w:rFonts w:ascii="Times New Roman" w:hAnsi="Times New Roman" w:cs="Times New Roman"/>
          <w:sz w:val="24"/>
          <w:szCs w:val="24"/>
        </w:rPr>
        <w:t xml:space="preserve">veiklos </w:t>
      </w:r>
      <w:r w:rsidR="00E02D14" w:rsidRPr="00022F7F">
        <w:rPr>
          <w:rFonts w:ascii="Times New Roman" w:hAnsi="Times New Roman" w:cs="Times New Roman"/>
          <w:sz w:val="24"/>
          <w:szCs w:val="24"/>
        </w:rPr>
        <w:t>rizikos</w:t>
      </w:r>
      <w:r w:rsidR="00035524" w:rsidRPr="00022F7F">
        <w:rPr>
          <w:rFonts w:ascii="Times New Roman" w:hAnsi="Times New Roman" w:cs="Times New Roman"/>
          <w:sz w:val="24"/>
          <w:szCs w:val="24"/>
        </w:rPr>
        <w:t xml:space="preserve"> lygis</w:t>
      </w:r>
      <w:r w:rsidR="002769A5" w:rsidRPr="00022F7F">
        <w:rPr>
          <w:rFonts w:ascii="Times New Roman" w:hAnsi="Times New Roman" w:cs="Times New Roman"/>
          <w:sz w:val="24"/>
          <w:szCs w:val="24"/>
        </w:rPr>
        <w:t xml:space="preserve"> yra aukštas</w:t>
      </w:r>
      <w:r w:rsidR="00E02D14" w:rsidRPr="00022F7F">
        <w:rPr>
          <w:rFonts w:ascii="Times New Roman" w:hAnsi="Times New Roman" w:cs="Times New Roman"/>
          <w:sz w:val="24"/>
          <w:szCs w:val="24"/>
        </w:rPr>
        <w:t xml:space="preserve"> (</w:t>
      </w:r>
      <w:r w:rsidR="000F7421" w:rsidRPr="00022F7F">
        <w:rPr>
          <w:rFonts w:ascii="Times New Roman" w:hAnsi="Times New Roman" w:cs="Times New Roman"/>
          <w:sz w:val="24"/>
          <w:szCs w:val="24"/>
        </w:rPr>
        <w:t>5</w:t>
      </w:r>
      <w:r w:rsidR="00705B75" w:rsidRPr="00022F7F">
        <w:rPr>
          <w:rFonts w:ascii="Times New Roman" w:hAnsi="Times New Roman" w:cs="Times New Roman"/>
          <w:sz w:val="24"/>
          <w:szCs w:val="24"/>
        </w:rPr>
        <w:t>8</w:t>
      </w:r>
      <w:r w:rsidR="004A6AB8" w:rsidRPr="00022F7F">
        <w:rPr>
          <w:rFonts w:ascii="Times New Roman" w:hAnsi="Times New Roman" w:cs="Times New Roman"/>
          <w:sz w:val="24"/>
          <w:szCs w:val="24"/>
        </w:rPr>
        <w:t> </w:t>
      </w:r>
      <w:r w:rsidR="00E02D14" w:rsidRPr="00022F7F">
        <w:rPr>
          <w:rFonts w:ascii="Times New Roman" w:hAnsi="Times New Roman" w:cs="Times New Roman"/>
          <w:sz w:val="24"/>
          <w:szCs w:val="24"/>
        </w:rPr>
        <w:t>proc. visų patikrinimų)</w:t>
      </w:r>
      <w:r w:rsidR="002769A5" w:rsidRPr="00022F7F">
        <w:rPr>
          <w:rFonts w:ascii="Times New Roman" w:hAnsi="Times New Roman" w:cs="Times New Roman"/>
          <w:sz w:val="24"/>
          <w:szCs w:val="24"/>
        </w:rPr>
        <w:t>.</w:t>
      </w:r>
      <w:r w:rsidR="00C92BC7" w:rsidRPr="00022F7F">
        <w:rPr>
          <w:rFonts w:ascii="Times New Roman" w:hAnsi="Times New Roman" w:cs="Times New Roman"/>
          <w:sz w:val="24"/>
          <w:szCs w:val="24"/>
        </w:rPr>
        <w:t xml:space="preserve"> </w:t>
      </w:r>
      <w:r w:rsidR="002769A5" w:rsidRPr="00022F7F">
        <w:rPr>
          <w:rFonts w:ascii="Times New Roman" w:hAnsi="Times New Roman" w:cs="Times New Roman"/>
          <w:sz w:val="24"/>
          <w:szCs w:val="24"/>
        </w:rPr>
        <w:t>P</w:t>
      </w:r>
      <w:r w:rsidR="00C92BC7" w:rsidRPr="00022F7F">
        <w:rPr>
          <w:rFonts w:ascii="Times New Roman" w:hAnsi="Times New Roman" w:cs="Times New Roman"/>
          <w:sz w:val="24"/>
          <w:szCs w:val="24"/>
        </w:rPr>
        <w:t>alygin</w:t>
      </w:r>
      <w:r w:rsidR="00777C98" w:rsidRPr="00022F7F">
        <w:rPr>
          <w:rFonts w:ascii="Times New Roman" w:hAnsi="Times New Roman" w:cs="Times New Roman"/>
          <w:sz w:val="24"/>
          <w:szCs w:val="24"/>
        </w:rPr>
        <w:t>ti</w:t>
      </w:r>
      <w:r w:rsidR="00C92BC7" w:rsidRPr="00022F7F">
        <w:rPr>
          <w:rFonts w:ascii="Times New Roman" w:hAnsi="Times New Roman" w:cs="Times New Roman"/>
          <w:sz w:val="24"/>
          <w:szCs w:val="24"/>
        </w:rPr>
        <w:t xml:space="preserve"> </w:t>
      </w:r>
      <w:r w:rsidR="00ED127D" w:rsidRPr="00022F7F">
        <w:rPr>
          <w:rFonts w:ascii="Times New Roman" w:hAnsi="Times New Roman" w:cs="Times New Roman"/>
          <w:sz w:val="24"/>
          <w:szCs w:val="24"/>
        </w:rPr>
        <w:t xml:space="preserve">su </w:t>
      </w:r>
      <w:r w:rsidR="00C92BC7" w:rsidRPr="00022F7F">
        <w:rPr>
          <w:rFonts w:ascii="Times New Roman" w:hAnsi="Times New Roman" w:cs="Times New Roman"/>
          <w:sz w:val="24"/>
          <w:szCs w:val="24"/>
        </w:rPr>
        <w:t>20</w:t>
      </w:r>
      <w:r w:rsidR="00C25E27" w:rsidRPr="00022F7F">
        <w:rPr>
          <w:rFonts w:ascii="Times New Roman" w:hAnsi="Times New Roman" w:cs="Times New Roman"/>
          <w:sz w:val="24"/>
          <w:szCs w:val="24"/>
        </w:rPr>
        <w:t>2</w:t>
      </w:r>
      <w:r w:rsidR="000F7421" w:rsidRPr="00022F7F">
        <w:rPr>
          <w:rFonts w:ascii="Times New Roman" w:hAnsi="Times New Roman" w:cs="Times New Roman"/>
          <w:sz w:val="24"/>
          <w:szCs w:val="24"/>
        </w:rPr>
        <w:t>3 </w:t>
      </w:r>
      <w:r w:rsidR="00C92BC7" w:rsidRPr="00022F7F">
        <w:rPr>
          <w:rFonts w:ascii="Times New Roman" w:hAnsi="Times New Roman" w:cs="Times New Roman"/>
          <w:sz w:val="24"/>
          <w:szCs w:val="24"/>
        </w:rPr>
        <w:t>m.</w:t>
      </w:r>
      <w:r w:rsidR="00777C98" w:rsidRPr="00022F7F">
        <w:rPr>
          <w:rFonts w:ascii="Times New Roman" w:hAnsi="Times New Roman" w:cs="Times New Roman"/>
          <w:sz w:val="24"/>
          <w:szCs w:val="24"/>
        </w:rPr>
        <w:t>,</w:t>
      </w:r>
      <w:r w:rsidR="00C92BC7" w:rsidRPr="00022F7F">
        <w:rPr>
          <w:rFonts w:ascii="Times New Roman" w:hAnsi="Times New Roman" w:cs="Times New Roman"/>
          <w:sz w:val="24"/>
          <w:szCs w:val="24"/>
        </w:rPr>
        <w:t xml:space="preserve"> šio rodiklio reikšmė </w:t>
      </w:r>
      <w:r w:rsidR="00705B75" w:rsidRPr="00022F7F">
        <w:rPr>
          <w:rFonts w:ascii="Times New Roman" w:hAnsi="Times New Roman" w:cs="Times New Roman"/>
          <w:sz w:val="24"/>
          <w:szCs w:val="24"/>
        </w:rPr>
        <w:t xml:space="preserve">išliko ta pati </w:t>
      </w:r>
      <w:bookmarkStart w:id="11" w:name="_Hlk66028294"/>
      <w:r w:rsidR="00C56E00" w:rsidRPr="00022F7F">
        <w:rPr>
          <w:rFonts w:ascii="Times New Roman" w:hAnsi="Times New Roman" w:cs="Times New Roman"/>
          <w:sz w:val="24"/>
          <w:szCs w:val="24"/>
        </w:rPr>
        <w:t xml:space="preserve">(žr. </w:t>
      </w:r>
      <w:r w:rsidR="00A36A96" w:rsidRPr="00022F7F">
        <w:rPr>
          <w:rFonts w:ascii="Times New Roman" w:hAnsi="Times New Roman" w:cs="Times New Roman"/>
          <w:sz w:val="24"/>
          <w:szCs w:val="24"/>
        </w:rPr>
        <w:t xml:space="preserve">11 </w:t>
      </w:r>
      <w:r w:rsidR="00C56E00" w:rsidRPr="00022F7F">
        <w:rPr>
          <w:rFonts w:ascii="Times New Roman" w:hAnsi="Times New Roman" w:cs="Times New Roman"/>
          <w:sz w:val="24"/>
          <w:szCs w:val="24"/>
        </w:rPr>
        <w:t>paveikslą).</w:t>
      </w:r>
      <w:bookmarkEnd w:id="11"/>
    </w:p>
    <w:p w14:paraId="130F98D7" w14:textId="41A37402" w:rsidR="00DB2349" w:rsidRDefault="00115856" w:rsidP="00E43383">
      <w:pPr>
        <w:pStyle w:val="Sraopastraipa"/>
        <w:tabs>
          <w:tab w:val="left" w:pos="709"/>
          <w:tab w:val="left" w:pos="1276"/>
          <w:tab w:val="left" w:pos="3402"/>
        </w:tabs>
        <w:spacing w:after="0" w:line="240" w:lineRule="auto"/>
        <w:ind w:left="0" w:firstLine="851"/>
        <w:jc w:val="both"/>
        <w:rPr>
          <w:rFonts w:ascii="Times New Roman" w:hAnsi="Times New Roman" w:cs="Times New Roman"/>
          <w:bCs/>
          <w:iCs/>
          <w:sz w:val="24"/>
          <w:szCs w:val="24"/>
        </w:rPr>
      </w:pPr>
      <w:r w:rsidRPr="00157C0B">
        <w:rPr>
          <w:rFonts w:ascii="Times New Roman" w:hAnsi="Times New Roman" w:cs="Times New Roman"/>
          <w:b/>
          <w:sz w:val="24"/>
          <w:szCs w:val="24"/>
        </w:rPr>
        <w:t>1</w:t>
      </w:r>
      <w:r w:rsidR="00F30CA4" w:rsidRPr="00157C0B">
        <w:rPr>
          <w:rFonts w:ascii="Times New Roman" w:hAnsi="Times New Roman" w:cs="Times New Roman"/>
          <w:b/>
          <w:sz w:val="24"/>
          <w:szCs w:val="24"/>
        </w:rPr>
        <w:t>3</w:t>
      </w:r>
      <w:r w:rsidR="00D15A82" w:rsidRPr="00157C0B">
        <w:rPr>
          <w:rFonts w:ascii="Times New Roman" w:hAnsi="Times New Roman" w:cs="Times New Roman"/>
          <w:b/>
          <w:sz w:val="24"/>
          <w:szCs w:val="24"/>
        </w:rPr>
        <w:t xml:space="preserve">. </w:t>
      </w:r>
      <w:r w:rsidR="00C92BC7" w:rsidRPr="00157C0B">
        <w:rPr>
          <w:rFonts w:ascii="Times New Roman" w:hAnsi="Times New Roman" w:cs="Times New Roman"/>
          <w:b/>
          <w:sz w:val="24"/>
          <w:szCs w:val="24"/>
        </w:rPr>
        <w:t xml:space="preserve">Vidutinio ir mažo </w:t>
      </w:r>
      <w:r w:rsidR="00307FA4" w:rsidRPr="00157C0B">
        <w:rPr>
          <w:rFonts w:ascii="Times New Roman" w:hAnsi="Times New Roman" w:cs="Times New Roman"/>
          <w:b/>
          <w:sz w:val="24"/>
          <w:szCs w:val="24"/>
        </w:rPr>
        <w:t>veiklos</w:t>
      </w:r>
      <w:r w:rsidR="00C92BC7" w:rsidRPr="00157C0B">
        <w:rPr>
          <w:rFonts w:ascii="Times New Roman" w:hAnsi="Times New Roman" w:cs="Times New Roman"/>
          <w:b/>
          <w:sz w:val="24"/>
          <w:szCs w:val="24"/>
        </w:rPr>
        <w:t xml:space="preserve"> rizikos lygio įstaigų ir įmonių patikrinimų vertinamuoju laikotarpiu dalis (proc.), palyginti su visais šiuo laikotarpiu atliktais patikrinimais</w:t>
      </w:r>
      <w:r w:rsidR="00C92BC7" w:rsidRPr="00157C0B">
        <w:rPr>
          <w:rFonts w:ascii="Times New Roman" w:hAnsi="Times New Roman" w:cs="Times New Roman"/>
          <w:bCs/>
          <w:sz w:val="24"/>
          <w:szCs w:val="24"/>
        </w:rPr>
        <w:t xml:space="preserve"> (siekiama šio rodiklio reikšmės mažėjimo). 202</w:t>
      </w:r>
      <w:r w:rsidR="00405C71">
        <w:rPr>
          <w:rFonts w:ascii="Times New Roman" w:hAnsi="Times New Roman" w:cs="Times New Roman"/>
          <w:bCs/>
          <w:sz w:val="24"/>
          <w:szCs w:val="24"/>
        </w:rPr>
        <w:t>4 </w:t>
      </w:r>
      <w:r w:rsidR="00C92BC7" w:rsidRPr="00157C0B">
        <w:rPr>
          <w:rFonts w:ascii="Times New Roman" w:hAnsi="Times New Roman" w:cs="Times New Roman"/>
          <w:bCs/>
          <w:sz w:val="24"/>
          <w:szCs w:val="24"/>
        </w:rPr>
        <w:t xml:space="preserve">m. </w:t>
      </w:r>
      <w:r w:rsidR="00C92BC7" w:rsidRPr="00022F7F">
        <w:rPr>
          <w:rFonts w:ascii="Times New Roman" w:hAnsi="Times New Roman" w:cs="Times New Roman"/>
          <w:bCs/>
          <w:iCs/>
          <w:sz w:val="24"/>
          <w:szCs w:val="24"/>
        </w:rPr>
        <w:t xml:space="preserve">buvo </w:t>
      </w:r>
      <w:r w:rsidR="00B63760" w:rsidRPr="00022F7F">
        <w:rPr>
          <w:rFonts w:ascii="Times New Roman" w:hAnsi="Times New Roman" w:cs="Times New Roman"/>
          <w:bCs/>
          <w:iCs/>
          <w:sz w:val="24"/>
          <w:szCs w:val="24"/>
        </w:rPr>
        <w:t>patikrinta</w:t>
      </w:r>
      <w:r w:rsidR="00777C98" w:rsidRPr="00022F7F">
        <w:rPr>
          <w:rFonts w:ascii="Times New Roman" w:hAnsi="Times New Roman" w:cs="Times New Roman"/>
          <w:bCs/>
          <w:iCs/>
          <w:sz w:val="24"/>
          <w:szCs w:val="24"/>
        </w:rPr>
        <w:t xml:space="preserve"> </w:t>
      </w:r>
      <w:r w:rsidR="00634C3F" w:rsidRPr="00022F7F">
        <w:rPr>
          <w:rFonts w:ascii="Times New Roman" w:hAnsi="Times New Roman" w:cs="Times New Roman"/>
          <w:bCs/>
          <w:iCs/>
          <w:sz w:val="24"/>
          <w:szCs w:val="24"/>
        </w:rPr>
        <w:t>121</w:t>
      </w:r>
      <w:r w:rsidR="00405C71" w:rsidRPr="00157C0B">
        <w:rPr>
          <w:rFonts w:ascii="Times New Roman" w:hAnsi="Times New Roman" w:cs="Times New Roman"/>
          <w:bCs/>
          <w:iCs/>
          <w:sz w:val="24"/>
          <w:szCs w:val="24"/>
        </w:rPr>
        <w:t xml:space="preserve"> </w:t>
      </w:r>
      <w:r w:rsidR="00C92BC7" w:rsidRPr="00157C0B">
        <w:rPr>
          <w:rFonts w:ascii="Times New Roman" w:hAnsi="Times New Roman" w:cs="Times New Roman"/>
          <w:bCs/>
          <w:iCs/>
          <w:sz w:val="24"/>
          <w:szCs w:val="24"/>
        </w:rPr>
        <w:t xml:space="preserve">vidutinio </w:t>
      </w:r>
      <w:r w:rsidR="00777C98" w:rsidRPr="00157C0B">
        <w:rPr>
          <w:rFonts w:ascii="Times New Roman" w:hAnsi="Times New Roman" w:cs="Times New Roman"/>
          <w:bCs/>
          <w:iCs/>
          <w:sz w:val="24"/>
          <w:szCs w:val="24"/>
        </w:rPr>
        <w:t xml:space="preserve">ir </w:t>
      </w:r>
      <w:r w:rsidR="00C92BC7" w:rsidRPr="00157C0B">
        <w:rPr>
          <w:rFonts w:ascii="Times New Roman" w:hAnsi="Times New Roman" w:cs="Times New Roman"/>
          <w:bCs/>
          <w:iCs/>
          <w:sz w:val="24"/>
          <w:szCs w:val="24"/>
        </w:rPr>
        <w:t xml:space="preserve">žemo </w:t>
      </w:r>
      <w:r w:rsidR="00960C6D" w:rsidRPr="00157C0B">
        <w:rPr>
          <w:rFonts w:ascii="Times New Roman" w:hAnsi="Times New Roman" w:cs="Times New Roman"/>
          <w:bCs/>
          <w:iCs/>
          <w:sz w:val="24"/>
          <w:szCs w:val="24"/>
        </w:rPr>
        <w:t xml:space="preserve">veiklos </w:t>
      </w:r>
      <w:r w:rsidR="00C92BC7" w:rsidRPr="00157C0B">
        <w:rPr>
          <w:rFonts w:ascii="Times New Roman" w:hAnsi="Times New Roman" w:cs="Times New Roman"/>
          <w:bCs/>
          <w:iCs/>
          <w:sz w:val="24"/>
          <w:szCs w:val="24"/>
        </w:rPr>
        <w:t>rizikos lygio ūkio subjekt</w:t>
      </w:r>
      <w:r w:rsidR="002769A5" w:rsidRPr="00157C0B">
        <w:rPr>
          <w:rFonts w:ascii="Times New Roman" w:hAnsi="Times New Roman" w:cs="Times New Roman"/>
          <w:bCs/>
          <w:iCs/>
          <w:sz w:val="24"/>
          <w:szCs w:val="24"/>
        </w:rPr>
        <w:t>ų</w:t>
      </w:r>
      <w:r w:rsidR="00C92BC7" w:rsidRPr="00157C0B">
        <w:rPr>
          <w:rFonts w:ascii="Times New Roman" w:hAnsi="Times New Roman" w:cs="Times New Roman"/>
          <w:bCs/>
          <w:iCs/>
          <w:sz w:val="24"/>
          <w:szCs w:val="24"/>
        </w:rPr>
        <w:t xml:space="preserve"> </w:t>
      </w:r>
      <w:r w:rsidR="00C92BC7" w:rsidRPr="00022F7F">
        <w:rPr>
          <w:rFonts w:ascii="Times New Roman" w:hAnsi="Times New Roman" w:cs="Times New Roman"/>
          <w:bCs/>
          <w:iCs/>
          <w:sz w:val="24"/>
          <w:szCs w:val="24"/>
        </w:rPr>
        <w:t>(</w:t>
      </w:r>
      <w:r w:rsidR="00EF4E3A" w:rsidRPr="00022F7F">
        <w:rPr>
          <w:rFonts w:ascii="Times New Roman" w:hAnsi="Times New Roman" w:cs="Times New Roman"/>
          <w:bCs/>
          <w:iCs/>
          <w:sz w:val="24"/>
          <w:szCs w:val="24"/>
        </w:rPr>
        <w:t>2</w:t>
      </w:r>
      <w:r w:rsidR="00634C3F" w:rsidRPr="00022F7F">
        <w:rPr>
          <w:rFonts w:ascii="Times New Roman" w:hAnsi="Times New Roman" w:cs="Times New Roman"/>
          <w:bCs/>
          <w:iCs/>
          <w:sz w:val="24"/>
          <w:szCs w:val="24"/>
        </w:rPr>
        <w:t>8</w:t>
      </w:r>
      <w:r w:rsidR="00EF4E3A" w:rsidRPr="00022F7F">
        <w:rPr>
          <w:rFonts w:ascii="Times New Roman" w:hAnsi="Times New Roman" w:cs="Times New Roman"/>
          <w:bCs/>
          <w:iCs/>
          <w:sz w:val="24"/>
          <w:szCs w:val="24"/>
        </w:rPr>
        <w:t> </w:t>
      </w:r>
      <w:r w:rsidR="00C92BC7" w:rsidRPr="00022F7F">
        <w:rPr>
          <w:rFonts w:ascii="Times New Roman" w:hAnsi="Times New Roman" w:cs="Times New Roman"/>
          <w:bCs/>
          <w:iCs/>
          <w:sz w:val="24"/>
          <w:szCs w:val="24"/>
        </w:rPr>
        <w:t>proc.</w:t>
      </w:r>
      <w:r w:rsidR="00C92BC7" w:rsidRPr="00157C0B">
        <w:rPr>
          <w:rFonts w:ascii="Times New Roman" w:hAnsi="Times New Roman" w:cs="Times New Roman"/>
          <w:bCs/>
          <w:iCs/>
          <w:sz w:val="24"/>
          <w:szCs w:val="24"/>
        </w:rPr>
        <w:t xml:space="preserve"> visų patikrinimų). </w:t>
      </w:r>
      <w:r w:rsidR="000F7421" w:rsidRPr="00157C0B">
        <w:rPr>
          <w:rFonts w:ascii="Times New Roman" w:hAnsi="Times New Roman" w:cs="Times New Roman"/>
          <w:bCs/>
          <w:iCs/>
          <w:sz w:val="24"/>
          <w:szCs w:val="24"/>
        </w:rPr>
        <w:t>202</w:t>
      </w:r>
      <w:r w:rsidR="000F7421">
        <w:rPr>
          <w:rFonts w:ascii="Times New Roman" w:hAnsi="Times New Roman" w:cs="Times New Roman"/>
          <w:bCs/>
          <w:iCs/>
          <w:sz w:val="24"/>
          <w:szCs w:val="24"/>
        </w:rPr>
        <w:t>3 </w:t>
      </w:r>
      <w:r w:rsidR="00C92BC7" w:rsidRPr="00157C0B">
        <w:rPr>
          <w:rFonts w:ascii="Times New Roman" w:hAnsi="Times New Roman" w:cs="Times New Roman"/>
          <w:bCs/>
          <w:iCs/>
          <w:sz w:val="24"/>
          <w:szCs w:val="24"/>
        </w:rPr>
        <w:t xml:space="preserve">m. šio rodiklio reikšmė siekė </w:t>
      </w:r>
      <w:r w:rsidR="000F7421">
        <w:rPr>
          <w:rFonts w:ascii="Times New Roman" w:hAnsi="Times New Roman" w:cs="Times New Roman"/>
          <w:bCs/>
          <w:iCs/>
          <w:sz w:val="24"/>
          <w:szCs w:val="24"/>
        </w:rPr>
        <w:t>34 </w:t>
      </w:r>
      <w:r w:rsidR="00C92BC7" w:rsidRPr="00157C0B">
        <w:rPr>
          <w:rFonts w:ascii="Times New Roman" w:hAnsi="Times New Roman" w:cs="Times New Roman"/>
          <w:bCs/>
          <w:iCs/>
          <w:sz w:val="24"/>
          <w:szCs w:val="24"/>
        </w:rPr>
        <w:t>proc.</w:t>
      </w:r>
      <w:r w:rsidR="00C56E00" w:rsidRPr="00022F7F">
        <w:rPr>
          <w:rFonts w:ascii="Times New Roman" w:hAnsi="Times New Roman" w:cs="Times New Roman"/>
          <w:sz w:val="24"/>
          <w:szCs w:val="24"/>
        </w:rPr>
        <w:t xml:space="preserve"> </w:t>
      </w:r>
      <w:r w:rsidR="00C56E00" w:rsidRPr="00157C0B">
        <w:rPr>
          <w:rFonts w:ascii="Times New Roman" w:hAnsi="Times New Roman" w:cs="Times New Roman"/>
          <w:bCs/>
          <w:iCs/>
          <w:sz w:val="24"/>
          <w:szCs w:val="24"/>
        </w:rPr>
        <w:t xml:space="preserve">(žr. </w:t>
      </w:r>
      <w:r w:rsidR="00A36A96">
        <w:rPr>
          <w:rFonts w:ascii="Times New Roman" w:hAnsi="Times New Roman" w:cs="Times New Roman"/>
          <w:bCs/>
          <w:iCs/>
          <w:sz w:val="24"/>
          <w:szCs w:val="24"/>
        </w:rPr>
        <w:t>11</w:t>
      </w:r>
      <w:r w:rsidR="00A36A96" w:rsidRPr="00157C0B">
        <w:rPr>
          <w:rFonts w:ascii="Times New Roman" w:hAnsi="Times New Roman" w:cs="Times New Roman"/>
          <w:bCs/>
          <w:iCs/>
          <w:sz w:val="24"/>
          <w:szCs w:val="24"/>
        </w:rPr>
        <w:t xml:space="preserve"> </w:t>
      </w:r>
      <w:r w:rsidR="00C56E00" w:rsidRPr="00157C0B">
        <w:rPr>
          <w:rFonts w:ascii="Times New Roman" w:hAnsi="Times New Roman" w:cs="Times New Roman"/>
          <w:bCs/>
          <w:iCs/>
          <w:sz w:val="24"/>
          <w:szCs w:val="24"/>
        </w:rPr>
        <w:t>paveikslą).</w:t>
      </w:r>
      <w:r w:rsidR="009D2ADE" w:rsidRPr="00157C0B">
        <w:rPr>
          <w:rFonts w:ascii="Times New Roman" w:hAnsi="Times New Roman" w:cs="Times New Roman"/>
          <w:bCs/>
          <w:iCs/>
          <w:sz w:val="24"/>
          <w:szCs w:val="24"/>
        </w:rPr>
        <w:t xml:space="preserve"> </w:t>
      </w:r>
    </w:p>
    <w:p w14:paraId="7CF83CED" w14:textId="6A442A03" w:rsidR="00AC1D4C" w:rsidRPr="00661D65" w:rsidRDefault="00AC1D4C" w:rsidP="00E43383">
      <w:pPr>
        <w:pStyle w:val="Sraopastraipa"/>
        <w:tabs>
          <w:tab w:val="left" w:pos="709"/>
          <w:tab w:val="left" w:pos="1276"/>
          <w:tab w:val="left" w:pos="3402"/>
        </w:tabs>
        <w:spacing w:after="0" w:line="240" w:lineRule="auto"/>
        <w:ind w:left="0" w:firstLine="851"/>
        <w:jc w:val="both"/>
        <w:rPr>
          <w:rFonts w:ascii="Times New Roman" w:hAnsi="Times New Roman" w:cs="Times New Roman"/>
          <w:sz w:val="24"/>
          <w:szCs w:val="24"/>
        </w:rPr>
      </w:pPr>
      <w:r w:rsidRPr="00157C0B">
        <w:rPr>
          <w:rFonts w:ascii="Times New Roman" w:hAnsi="Times New Roman" w:cs="Times New Roman"/>
          <w:bCs/>
          <w:iCs/>
          <w:sz w:val="24"/>
          <w:szCs w:val="24"/>
        </w:rPr>
        <w:t>202</w:t>
      </w:r>
      <w:r w:rsidR="000F7421">
        <w:rPr>
          <w:rFonts w:ascii="Times New Roman" w:hAnsi="Times New Roman" w:cs="Times New Roman"/>
          <w:bCs/>
          <w:iCs/>
          <w:sz w:val="24"/>
          <w:szCs w:val="24"/>
        </w:rPr>
        <w:t>4 </w:t>
      </w:r>
      <w:r w:rsidRPr="00157C0B">
        <w:rPr>
          <w:rFonts w:ascii="Times New Roman" w:hAnsi="Times New Roman" w:cs="Times New Roman"/>
          <w:bCs/>
          <w:iCs/>
          <w:sz w:val="24"/>
          <w:szCs w:val="24"/>
        </w:rPr>
        <w:t xml:space="preserve">m. buvo </w:t>
      </w:r>
      <w:r w:rsidR="00B63760" w:rsidRPr="00022F7F">
        <w:rPr>
          <w:rFonts w:ascii="Times New Roman" w:hAnsi="Times New Roman" w:cs="Times New Roman"/>
          <w:bCs/>
          <w:iCs/>
          <w:sz w:val="24"/>
          <w:szCs w:val="24"/>
        </w:rPr>
        <w:t>patikrinta</w:t>
      </w:r>
      <w:r w:rsidR="000F7421">
        <w:rPr>
          <w:rFonts w:ascii="Times New Roman" w:hAnsi="Times New Roman" w:cs="Times New Roman"/>
          <w:bCs/>
          <w:iCs/>
          <w:sz w:val="24"/>
          <w:szCs w:val="24"/>
        </w:rPr>
        <w:t xml:space="preserve"> </w:t>
      </w:r>
      <w:r w:rsidR="00012EC8">
        <w:rPr>
          <w:rFonts w:ascii="Times New Roman" w:hAnsi="Times New Roman" w:cs="Times New Roman"/>
          <w:bCs/>
          <w:iCs/>
          <w:sz w:val="24"/>
          <w:szCs w:val="24"/>
        </w:rPr>
        <w:t xml:space="preserve">daugiau nei </w:t>
      </w:r>
      <w:r w:rsidR="000F7421">
        <w:rPr>
          <w:rFonts w:ascii="Times New Roman" w:hAnsi="Times New Roman" w:cs="Times New Roman"/>
          <w:bCs/>
          <w:iCs/>
          <w:sz w:val="24"/>
          <w:szCs w:val="24"/>
        </w:rPr>
        <w:t xml:space="preserve">du kartus daugiau </w:t>
      </w:r>
      <w:r w:rsidRPr="00157C0B">
        <w:rPr>
          <w:rFonts w:ascii="Times New Roman" w:hAnsi="Times New Roman" w:cs="Times New Roman"/>
          <w:bCs/>
          <w:iCs/>
          <w:sz w:val="24"/>
          <w:szCs w:val="24"/>
        </w:rPr>
        <w:t xml:space="preserve">ūkio </w:t>
      </w:r>
      <w:r w:rsidR="00B63760" w:rsidRPr="00022F7F">
        <w:rPr>
          <w:rFonts w:ascii="Times New Roman" w:hAnsi="Times New Roman" w:cs="Times New Roman"/>
          <w:bCs/>
          <w:iCs/>
          <w:sz w:val="24"/>
          <w:szCs w:val="24"/>
        </w:rPr>
        <w:t>subjektų</w:t>
      </w:r>
      <w:r w:rsidRPr="00157C0B">
        <w:rPr>
          <w:rFonts w:ascii="Times New Roman" w:hAnsi="Times New Roman" w:cs="Times New Roman"/>
          <w:bCs/>
          <w:iCs/>
          <w:sz w:val="24"/>
          <w:szCs w:val="24"/>
        </w:rPr>
        <w:t xml:space="preserve">, kurių rizikos lygis nebuvo vertintas (pvz. </w:t>
      </w:r>
      <w:r w:rsidRPr="00661D65">
        <w:rPr>
          <w:rFonts w:ascii="Times New Roman" w:hAnsi="Times New Roman" w:cs="Times New Roman"/>
          <w:bCs/>
          <w:iCs/>
          <w:sz w:val="24"/>
          <w:szCs w:val="24"/>
        </w:rPr>
        <w:t>vaistinės)</w:t>
      </w:r>
      <w:r w:rsidR="00B63760" w:rsidRPr="00661D65">
        <w:rPr>
          <w:rFonts w:ascii="Times New Roman" w:hAnsi="Times New Roman" w:cs="Times New Roman"/>
          <w:bCs/>
          <w:iCs/>
          <w:sz w:val="24"/>
          <w:szCs w:val="24"/>
        </w:rPr>
        <w:t xml:space="preserve"> – tokių buvo 6</w:t>
      </w:r>
      <w:r w:rsidR="00452828">
        <w:rPr>
          <w:rFonts w:ascii="Times New Roman" w:hAnsi="Times New Roman" w:cs="Times New Roman"/>
          <w:bCs/>
          <w:iCs/>
          <w:sz w:val="24"/>
          <w:szCs w:val="24"/>
        </w:rPr>
        <w:t>1, o 2023 m. – 26 ūkio subjektai.</w:t>
      </w:r>
    </w:p>
    <w:p w14:paraId="1A75E7CE" w14:textId="77777777" w:rsidR="00705B75" w:rsidRDefault="00705B75" w:rsidP="00AC1D4C">
      <w:pPr>
        <w:tabs>
          <w:tab w:val="left" w:pos="709"/>
          <w:tab w:val="left" w:pos="1134"/>
        </w:tabs>
        <w:spacing w:after="0" w:line="240" w:lineRule="auto"/>
        <w:jc w:val="both"/>
        <w:rPr>
          <w:rFonts w:ascii="Times New Roman" w:hAnsi="Times New Roman" w:cs="Times New Roman"/>
          <w:bCs/>
          <w:iCs/>
          <w:sz w:val="24"/>
          <w:szCs w:val="24"/>
        </w:rPr>
      </w:pPr>
    </w:p>
    <w:p w14:paraId="25D7D873" w14:textId="118F606B" w:rsidR="00705B75" w:rsidRDefault="00452828" w:rsidP="00452828">
      <w:pPr>
        <w:spacing w:after="0" w:line="240" w:lineRule="auto"/>
        <w:jc w:val="both"/>
        <w:rPr>
          <w:rFonts w:ascii="Times New Roman" w:hAnsi="Times New Roman" w:cs="Times New Roman"/>
          <w:bCs/>
          <w:iCs/>
          <w:sz w:val="24"/>
          <w:szCs w:val="24"/>
        </w:rPr>
      </w:pPr>
      <w:r>
        <w:rPr>
          <w:noProof/>
        </w:rPr>
        <w:lastRenderedPageBreak/>
        <w:drawing>
          <wp:inline distT="0" distB="0" distL="0" distR="0" wp14:anchorId="44729E5F" wp14:editId="1944C5D5">
            <wp:extent cx="6120000" cy="2880000"/>
            <wp:effectExtent l="0" t="0" r="14605" b="15875"/>
            <wp:docPr id="767690457" name="Diagrama 1">
              <a:extLst xmlns:a="http://schemas.openxmlformats.org/drawingml/2006/main">
                <a:ext uri="{FF2B5EF4-FFF2-40B4-BE49-F238E27FC236}">
                  <a16:creationId xmlns:a16="http://schemas.microsoft.com/office/drawing/2014/main" id="{70E0D81E-E35C-41E4-B6D6-7F5E110DBC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C443172" w14:textId="79864044" w:rsidR="005A46E8" w:rsidRPr="00157C0B" w:rsidRDefault="00A36A96" w:rsidP="00C128D6">
      <w:pPr>
        <w:pStyle w:val="Sraopastraipa"/>
        <w:ind w:left="0"/>
        <w:rPr>
          <w:rFonts w:ascii="Times New Roman" w:hAnsi="Times New Roman" w:cs="Times New Roman"/>
          <w:bCs/>
          <w:i/>
          <w:iCs/>
          <w:sz w:val="24"/>
          <w:szCs w:val="24"/>
        </w:rPr>
      </w:pPr>
      <w:r>
        <w:rPr>
          <w:rFonts w:ascii="Times New Roman" w:hAnsi="Times New Roman" w:cs="Times New Roman"/>
          <w:bCs/>
          <w:i/>
          <w:iCs/>
          <w:sz w:val="24"/>
          <w:szCs w:val="24"/>
        </w:rPr>
        <w:t>11</w:t>
      </w:r>
      <w:r w:rsidR="005A46E8" w:rsidRPr="00157C0B">
        <w:rPr>
          <w:rFonts w:ascii="Times New Roman" w:hAnsi="Times New Roman" w:cs="Times New Roman"/>
          <w:bCs/>
          <w:i/>
          <w:iCs/>
          <w:sz w:val="24"/>
          <w:szCs w:val="24"/>
        </w:rPr>
        <w:t xml:space="preserve"> paveikslas. </w:t>
      </w:r>
      <w:r w:rsidR="00906A66" w:rsidRPr="00157C0B">
        <w:rPr>
          <w:rFonts w:ascii="Times New Roman" w:hAnsi="Times New Roman" w:cs="Times New Roman"/>
          <w:bCs/>
          <w:i/>
          <w:iCs/>
          <w:sz w:val="24"/>
          <w:szCs w:val="24"/>
        </w:rPr>
        <w:t>Atliktų</w:t>
      </w:r>
      <w:r w:rsidR="005A46E8" w:rsidRPr="00157C0B">
        <w:rPr>
          <w:rFonts w:ascii="Times New Roman" w:hAnsi="Times New Roman" w:cs="Times New Roman"/>
          <w:bCs/>
          <w:i/>
          <w:iCs/>
          <w:sz w:val="24"/>
          <w:szCs w:val="24"/>
        </w:rPr>
        <w:t xml:space="preserve"> kontrolės procedūrų dalis </w:t>
      </w:r>
      <w:r w:rsidR="00BD4E89" w:rsidRPr="00157C0B">
        <w:rPr>
          <w:rFonts w:ascii="Times New Roman" w:hAnsi="Times New Roman" w:cs="Times New Roman"/>
          <w:bCs/>
          <w:i/>
          <w:iCs/>
          <w:sz w:val="24"/>
          <w:szCs w:val="24"/>
        </w:rPr>
        <w:t>(</w:t>
      </w:r>
      <w:r w:rsidR="005A46E8" w:rsidRPr="00157C0B">
        <w:rPr>
          <w:rFonts w:ascii="Times New Roman" w:hAnsi="Times New Roman" w:cs="Times New Roman"/>
          <w:bCs/>
          <w:i/>
          <w:iCs/>
          <w:sz w:val="24"/>
          <w:szCs w:val="24"/>
        </w:rPr>
        <w:t>proc</w:t>
      </w:r>
      <w:r w:rsidR="00BD4E89" w:rsidRPr="00157C0B">
        <w:rPr>
          <w:rFonts w:ascii="Times New Roman" w:hAnsi="Times New Roman" w:cs="Times New Roman"/>
          <w:bCs/>
          <w:i/>
          <w:iCs/>
          <w:sz w:val="24"/>
          <w:szCs w:val="24"/>
        </w:rPr>
        <w:t>.)</w:t>
      </w:r>
      <w:r w:rsidR="005A46E8" w:rsidRPr="00157C0B">
        <w:rPr>
          <w:rFonts w:ascii="Times New Roman" w:hAnsi="Times New Roman" w:cs="Times New Roman"/>
          <w:bCs/>
          <w:i/>
          <w:iCs/>
          <w:sz w:val="24"/>
          <w:szCs w:val="24"/>
        </w:rPr>
        <w:t xml:space="preserve"> </w:t>
      </w:r>
      <w:r w:rsidR="00906A66" w:rsidRPr="00157C0B">
        <w:rPr>
          <w:rFonts w:ascii="Times New Roman" w:hAnsi="Times New Roman" w:cs="Times New Roman"/>
          <w:bCs/>
          <w:i/>
          <w:iCs/>
          <w:sz w:val="24"/>
          <w:szCs w:val="24"/>
        </w:rPr>
        <w:t xml:space="preserve">pagal ūkio subjektų </w:t>
      </w:r>
      <w:r w:rsidR="00307FA4" w:rsidRPr="00157C0B">
        <w:rPr>
          <w:rFonts w:ascii="Times New Roman" w:hAnsi="Times New Roman" w:cs="Times New Roman"/>
          <w:bCs/>
          <w:i/>
          <w:iCs/>
          <w:sz w:val="24"/>
          <w:szCs w:val="24"/>
        </w:rPr>
        <w:t xml:space="preserve">veiklos </w:t>
      </w:r>
      <w:r w:rsidR="00906A66" w:rsidRPr="00157C0B">
        <w:rPr>
          <w:rFonts w:ascii="Times New Roman" w:hAnsi="Times New Roman" w:cs="Times New Roman"/>
          <w:bCs/>
          <w:i/>
          <w:iCs/>
          <w:sz w:val="24"/>
          <w:szCs w:val="24"/>
        </w:rPr>
        <w:t>rizikos lygį</w:t>
      </w:r>
      <w:r w:rsidR="00670298" w:rsidRPr="00157C0B">
        <w:rPr>
          <w:rFonts w:ascii="Times New Roman" w:hAnsi="Times New Roman" w:cs="Times New Roman"/>
          <w:bCs/>
          <w:i/>
          <w:iCs/>
          <w:sz w:val="24"/>
          <w:szCs w:val="24"/>
        </w:rPr>
        <w:t>.</w:t>
      </w:r>
    </w:p>
    <w:p w14:paraId="07CC709A" w14:textId="43219859" w:rsidR="00E81984" w:rsidRPr="00661D65" w:rsidRDefault="00BA5D5C" w:rsidP="00DB2349">
      <w:pPr>
        <w:spacing w:after="0" w:line="240" w:lineRule="auto"/>
        <w:ind w:firstLine="851"/>
        <w:jc w:val="both"/>
        <w:rPr>
          <w:rFonts w:ascii="Times New Roman" w:hAnsi="Times New Roman" w:cs="Times New Roman"/>
          <w:sz w:val="24"/>
          <w:szCs w:val="24"/>
        </w:rPr>
      </w:pPr>
      <w:r w:rsidRPr="00661D65">
        <w:rPr>
          <w:rFonts w:ascii="Times New Roman" w:hAnsi="Times New Roman" w:cs="Times New Roman"/>
          <w:b/>
          <w:sz w:val="24"/>
          <w:szCs w:val="24"/>
        </w:rPr>
        <w:t>1</w:t>
      </w:r>
      <w:r w:rsidR="00F30CA4" w:rsidRPr="00661D65">
        <w:rPr>
          <w:rFonts w:ascii="Times New Roman" w:hAnsi="Times New Roman" w:cs="Times New Roman"/>
          <w:b/>
          <w:sz w:val="24"/>
          <w:szCs w:val="24"/>
        </w:rPr>
        <w:t>4</w:t>
      </w:r>
      <w:r w:rsidRPr="00661D65">
        <w:rPr>
          <w:rFonts w:ascii="Times New Roman" w:hAnsi="Times New Roman" w:cs="Times New Roman"/>
          <w:b/>
          <w:sz w:val="24"/>
          <w:szCs w:val="24"/>
        </w:rPr>
        <w:t xml:space="preserve">. </w:t>
      </w:r>
      <w:r w:rsidR="0008784F" w:rsidRPr="00661D65">
        <w:rPr>
          <w:rFonts w:ascii="Times New Roman" w:hAnsi="Times New Roman" w:cs="Times New Roman"/>
          <w:b/>
          <w:sz w:val="24"/>
          <w:szCs w:val="24"/>
        </w:rPr>
        <w:t>Vertinamuoju laikotarpiu atliktų patikrinimų</w:t>
      </w:r>
      <w:r w:rsidR="00ED127D" w:rsidRPr="00661D65">
        <w:rPr>
          <w:rFonts w:ascii="Times New Roman" w:hAnsi="Times New Roman" w:cs="Times New Roman"/>
          <w:b/>
          <w:sz w:val="24"/>
          <w:szCs w:val="24"/>
        </w:rPr>
        <w:t>,</w:t>
      </w:r>
      <w:r w:rsidR="0008784F" w:rsidRPr="00661D65">
        <w:rPr>
          <w:rFonts w:ascii="Times New Roman" w:hAnsi="Times New Roman" w:cs="Times New Roman"/>
          <w:b/>
          <w:sz w:val="24"/>
          <w:szCs w:val="24"/>
        </w:rPr>
        <w:t xml:space="preserve"> naudojant kontrolinius klausimynus, dalis (proc.), palyginti su visais šiuo laikotarpiu atliktais patikrinimais</w:t>
      </w:r>
      <w:r w:rsidR="0019505E" w:rsidRPr="00661D65">
        <w:rPr>
          <w:rFonts w:ascii="Times New Roman" w:hAnsi="Times New Roman" w:cs="Times New Roman"/>
          <w:b/>
          <w:sz w:val="24"/>
          <w:szCs w:val="24"/>
        </w:rPr>
        <w:t xml:space="preserve"> </w:t>
      </w:r>
      <w:r w:rsidR="0019505E" w:rsidRPr="00661D65">
        <w:rPr>
          <w:rFonts w:ascii="Times New Roman" w:hAnsi="Times New Roman" w:cs="Times New Roman"/>
          <w:sz w:val="24"/>
          <w:szCs w:val="24"/>
        </w:rPr>
        <w:t xml:space="preserve">(siekiama perspektyvinio </w:t>
      </w:r>
      <w:r w:rsidR="00537EC8" w:rsidRPr="00157C0B">
        <w:rPr>
          <w:rFonts w:ascii="Times New Roman" w:eastAsiaTheme="majorEastAsia" w:hAnsi="Times New Roman" w:cs="Times New Roman"/>
          <w:kern w:val="24"/>
          <w:sz w:val="24"/>
          <w:szCs w:val="24"/>
        </w:rPr>
        <w:t xml:space="preserve">šio rodiklio reikšmės </w:t>
      </w:r>
      <w:r w:rsidR="0019505E" w:rsidRPr="00661D65">
        <w:rPr>
          <w:rFonts w:ascii="Times New Roman" w:hAnsi="Times New Roman" w:cs="Times New Roman"/>
          <w:sz w:val="24"/>
          <w:szCs w:val="24"/>
        </w:rPr>
        <w:t>didėjimo)</w:t>
      </w:r>
      <w:r w:rsidR="0008784F" w:rsidRPr="00661D65">
        <w:rPr>
          <w:rFonts w:ascii="Times New Roman" w:hAnsi="Times New Roman" w:cs="Times New Roman"/>
          <w:sz w:val="24"/>
          <w:szCs w:val="24"/>
        </w:rPr>
        <w:t>.</w:t>
      </w:r>
      <w:r w:rsidR="0019505E" w:rsidRPr="00661D65">
        <w:rPr>
          <w:rFonts w:ascii="Times New Roman" w:hAnsi="Times New Roman" w:cs="Times New Roman"/>
          <w:b/>
          <w:sz w:val="24"/>
          <w:szCs w:val="24"/>
        </w:rPr>
        <w:t xml:space="preserve"> </w:t>
      </w:r>
      <w:bookmarkStart w:id="12" w:name="_Hlk132884062"/>
      <w:r w:rsidR="000E59E7" w:rsidRPr="00661D65">
        <w:rPr>
          <w:rFonts w:ascii="Times New Roman" w:hAnsi="Times New Roman" w:cs="Times New Roman"/>
          <w:sz w:val="24"/>
          <w:szCs w:val="24"/>
        </w:rPr>
        <w:t>VLK direktoriaus 2016</w:t>
      </w:r>
      <w:r w:rsidR="00861985" w:rsidRPr="00661D65">
        <w:rPr>
          <w:rFonts w:ascii="Times New Roman" w:hAnsi="Times New Roman" w:cs="Times New Roman"/>
          <w:sz w:val="24"/>
          <w:szCs w:val="24"/>
        </w:rPr>
        <w:t> </w:t>
      </w:r>
      <w:r w:rsidR="000E59E7" w:rsidRPr="00661D65">
        <w:rPr>
          <w:rFonts w:ascii="Times New Roman" w:hAnsi="Times New Roman" w:cs="Times New Roman"/>
          <w:sz w:val="24"/>
          <w:szCs w:val="24"/>
        </w:rPr>
        <w:t>m. rugpjūčio 9</w:t>
      </w:r>
      <w:r w:rsidR="00861985" w:rsidRPr="00661D65">
        <w:rPr>
          <w:rFonts w:ascii="Times New Roman" w:hAnsi="Times New Roman" w:cs="Times New Roman"/>
          <w:sz w:val="24"/>
          <w:szCs w:val="24"/>
        </w:rPr>
        <w:t> </w:t>
      </w:r>
      <w:r w:rsidR="000E59E7" w:rsidRPr="00661D65">
        <w:rPr>
          <w:rFonts w:ascii="Times New Roman" w:hAnsi="Times New Roman" w:cs="Times New Roman"/>
          <w:sz w:val="24"/>
          <w:szCs w:val="24"/>
        </w:rPr>
        <w:t>d. įsakymu Nr.</w:t>
      </w:r>
      <w:r w:rsidR="00861985" w:rsidRPr="00661D65">
        <w:rPr>
          <w:rFonts w:ascii="Times New Roman" w:hAnsi="Times New Roman" w:cs="Times New Roman"/>
          <w:sz w:val="24"/>
          <w:szCs w:val="24"/>
        </w:rPr>
        <w:t> </w:t>
      </w:r>
      <w:r w:rsidR="000E59E7" w:rsidRPr="00661D65">
        <w:rPr>
          <w:rFonts w:ascii="Times New Roman" w:hAnsi="Times New Roman" w:cs="Times New Roman"/>
          <w:sz w:val="24"/>
          <w:szCs w:val="24"/>
        </w:rPr>
        <w:t xml:space="preserve">1K-239 „Dėl </w:t>
      </w:r>
      <w:r w:rsidR="00D706B1" w:rsidRPr="00661D65">
        <w:rPr>
          <w:rFonts w:ascii="Times New Roman" w:hAnsi="Times New Roman" w:cs="Times New Roman"/>
          <w:sz w:val="24"/>
          <w:szCs w:val="24"/>
        </w:rPr>
        <w:t>k</w:t>
      </w:r>
      <w:r w:rsidR="000E59E7" w:rsidRPr="00661D65">
        <w:rPr>
          <w:rFonts w:ascii="Times New Roman" w:hAnsi="Times New Roman" w:cs="Times New Roman"/>
          <w:sz w:val="24"/>
          <w:szCs w:val="24"/>
        </w:rPr>
        <w:t xml:space="preserve">ontrolinių klausimynų patvirtinimo“ </w:t>
      </w:r>
      <w:bookmarkEnd w:id="12"/>
      <w:r w:rsidR="000E59E7" w:rsidRPr="00661D65">
        <w:rPr>
          <w:rFonts w:ascii="Times New Roman" w:hAnsi="Times New Roman" w:cs="Times New Roman"/>
          <w:sz w:val="24"/>
          <w:szCs w:val="24"/>
        </w:rPr>
        <w:t xml:space="preserve">TLK nurodoma naudoti klausimynus kontrolės procedūrų metu bent 1 kartą per kalendorinius metus toje pačioje tikrinamoje gydymo įstaigoje ar vaistinėje. Atsižvelgiant į atliekamos kontrolės procedūros tikslus, uždavinius ir apimtį, gali būti pildomas ne visas klausimynas. Įvertinus </w:t>
      </w:r>
      <w:bookmarkStart w:id="13" w:name="_Hlk104216217"/>
      <w:r w:rsidR="004E79B0" w:rsidRPr="00661D65">
        <w:rPr>
          <w:rFonts w:ascii="Times New Roman" w:hAnsi="Times New Roman" w:cs="Times New Roman"/>
          <w:sz w:val="24"/>
          <w:szCs w:val="24"/>
        </w:rPr>
        <w:t>202</w:t>
      </w:r>
      <w:r w:rsidR="00861985" w:rsidRPr="00661D65">
        <w:rPr>
          <w:rFonts w:ascii="Times New Roman" w:hAnsi="Times New Roman" w:cs="Times New Roman"/>
          <w:sz w:val="24"/>
          <w:szCs w:val="24"/>
        </w:rPr>
        <w:t>4 </w:t>
      </w:r>
      <w:r w:rsidR="000E59E7" w:rsidRPr="00661D65">
        <w:rPr>
          <w:rFonts w:ascii="Times New Roman" w:hAnsi="Times New Roman" w:cs="Times New Roman"/>
          <w:sz w:val="24"/>
          <w:szCs w:val="24"/>
        </w:rPr>
        <w:t xml:space="preserve">m. duomenis, </w:t>
      </w:r>
      <w:r w:rsidR="00E21D96" w:rsidRPr="00661D65">
        <w:rPr>
          <w:rFonts w:ascii="Times New Roman" w:hAnsi="Times New Roman" w:cs="Times New Roman"/>
          <w:sz w:val="24"/>
          <w:szCs w:val="24"/>
        </w:rPr>
        <w:t>matyti</w:t>
      </w:r>
      <w:r w:rsidR="000E59E7" w:rsidRPr="00661D65">
        <w:rPr>
          <w:rFonts w:ascii="Times New Roman" w:hAnsi="Times New Roman" w:cs="Times New Roman"/>
          <w:sz w:val="24"/>
          <w:szCs w:val="24"/>
        </w:rPr>
        <w:t>, kad</w:t>
      </w:r>
      <w:r w:rsidR="00E21D96" w:rsidRPr="00661D65">
        <w:rPr>
          <w:rFonts w:ascii="Times New Roman" w:hAnsi="Times New Roman" w:cs="Times New Roman"/>
          <w:sz w:val="24"/>
          <w:szCs w:val="24"/>
        </w:rPr>
        <w:t xml:space="preserve"> </w:t>
      </w:r>
      <w:r w:rsidR="00831B32" w:rsidRPr="00661D65">
        <w:rPr>
          <w:rFonts w:ascii="Times New Roman" w:hAnsi="Times New Roman" w:cs="Times New Roman"/>
          <w:sz w:val="24"/>
          <w:szCs w:val="24"/>
        </w:rPr>
        <w:t xml:space="preserve">kontroliniai </w:t>
      </w:r>
      <w:r w:rsidR="00E21D96" w:rsidRPr="00661D65">
        <w:rPr>
          <w:rFonts w:ascii="Times New Roman" w:hAnsi="Times New Roman" w:cs="Times New Roman"/>
          <w:sz w:val="24"/>
          <w:szCs w:val="24"/>
        </w:rPr>
        <w:t>klausimyna</w:t>
      </w:r>
      <w:r w:rsidR="00831B32" w:rsidRPr="00661D65">
        <w:rPr>
          <w:rFonts w:ascii="Times New Roman" w:hAnsi="Times New Roman" w:cs="Times New Roman"/>
          <w:sz w:val="24"/>
          <w:szCs w:val="24"/>
        </w:rPr>
        <w:t>i</w:t>
      </w:r>
      <w:r w:rsidR="00E21D96" w:rsidRPr="00661D65">
        <w:rPr>
          <w:rFonts w:ascii="Times New Roman" w:hAnsi="Times New Roman" w:cs="Times New Roman"/>
          <w:sz w:val="24"/>
          <w:szCs w:val="24"/>
        </w:rPr>
        <w:t>, palyginti su 2023 m., buvo užpildytas dažniau (t. y. 2024 m. 165 kartus, o 2023 m. – 141), nors procentinė išraiška per metus sumažėjo 10 procentinių punktų, ji nėra tokia ryški jei lyginsime 2022 m. su 2023 m., kai mažėjimas buvo per 20</w:t>
      </w:r>
      <w:r w:rsidR="00FF4A55">
        <w:rPr>
          <w:rFonts w:ascii="Times New Roman" w:hAnsi="Times New Roman" w:cs="Times New Roman"/>
          <w:sz w:val="24"/>
          <w:szCs w:val="24"/>
        </w:rPr>
        <w:t> </w:t>
      </w:r>
      <w:r w:rsidR="00E21D96" w:rsidRPr="00661D65">
        <w:rPr>
          <w:rFonts w:ascii="Times New Roman" w:hAnsi="Times New Roman" w:cs="Times New Roman"/>
          <w:sz w:val="24"/>
          <w:szCs w:val="24"/>
        </w:rPr>
        <w:t>procentinių punktų</w:t>
      </w:r>
      <w:bookmarkEnd w:id="13"/>
      <w:r w:rsidR="000E59E7" w:rsidRPr="00661D65">
        <w:rPr>
          <w:rFonts w:ascii="Times New Roman" w:hAnsi="Times New Roman" w:cs="Times New Roman"/>
          <w:sz w:val="24"/>
          <w:szCs w:val="24"/>
        </w:rPr>
        <w:t xml:space="preserve"> </w:t>
      </w:r>
      <w:r w:rsidR="00E81984" w:rsidRPr="00661D65">
        <w:rPr>
          <w:rFonts w:ascii="Times New Roman" w:hAnsi="Times New Roman" w:cs="Times New Roman"/>
          <w:sz w:val="24"/>
          <w:szCs w:val="24"/>
        </w:rPr>
        <w:t xml:space="preserve">(žr. </w:t>
      </w:r>
      <w:r w:rsidR="00A36A96" w:rsidRPr="00661D65">
        <w:rPr>
          <w:rFonts w:ascii="Times New Roman" w:hAnsi="Times New Roman" w:cs="Times New Roman"/>
          <w:sz w:val="24"/>
          <w:szCs w:val="24"/>
        </w:rPr>
        <w:t xml:space="preserve">12 </w:t>
      </w:r>
      <w:r w:rsidR="00E81984" w:rsidRPr="00661D65">
        <w:rPr>
          <w:rFonts w:ascii="Times New Roman" w:hAnsi="Times New Roman" w:cs="Times New Roman"/>
          <w:sz w:val="24"/>
          <w:szCs w:val="24"/>
        </w:rPr>
        <w:t>paveikslą).</w:t>
      </w:r>
      <w:r w:rsidR="00461AF7" w:rsidRPr="00661D65">
        <w:rPr>
          <w:rFonts w:ascii="Times New Roman" w:hAnsi="Times New Roman" w:cs="Times New Roman"/>
          <w:iCs/>
          <w:sz w:val="24"/>
          <w:szCs w:val="24"/>
        </w:rPr>
        <w:t xml:space="preserve"> </w:t>
      </w:r>
    </w:p>
    <w:p w14:paraId="36BC1FA2" w14:textId="77777777" w:rsidR="00C54D27" w:rsidRPr="00661D65" w:rsidRDefault="00C54D27" w:rsidP="00973B23">
      <w:pPr>
        <w:tabs>
          <w:tab w:val="left" w:pos="709"/>
          <w:tab w:val="left" w:pos="1134"/>
        </w:tabs>
        <w:spacing w:after="0" w:line="240" w:lineRule="auto"/>
        <w:jc w:val="both"/>
        <w:rPr>
          <w:rFonts w:ascii="Times New Roman" w:hAnsi="Times New Roman" w:cs="Times New Roman"/>
          <w:b/>
          <w:sz w:val="24"/>
          <w:szCs w:val="24"/>
        </w:rPr>
      </w:pPr>
    </w:p>
    <w:p w14:paraId="650DF994" w14:textId="3DFCF5C6" w:rsidR="0008784F" w:rsidRPr="00157C0B" w:rsidRDefault="00E81984" w:rsidP="00345F00">
      <w:pPr>
        <w:tabs>
          <w:tab w:val="left" w:pos="851"/>
          <w:tab w:val="left" w:pos="1134"/>
        </w:tabs>
        <w:spacing w:after="0"/>
        <w:jc w:val="both"/>
        <w:rPr>
          <w:rFonts w:ascii="Times New Roman" w:hAnsi="Times New Roman" w:cs="Times New Roman"/>
          <w:bCs/>
          <w:sz w:val="24"/>
          <w:szCs w:val="24"/>
        </w:rPr>
      </w:pPr>
      <w:r w:rsidRPr="00661D65">
        <w:rPr>
          <w:rFonts w:ascii="Times New Roman" w:hAnsi="Times New Roman" w:cs="Times New Roman"/>
          <w:noProof/>
        </w:rPr>
        <w:drawing>
          <wp:inline distT="0" distB="0" distL="0" distR="0" wp14:anchorId="29756FC7" wp14:editId="07C84784">
            <wp:extent cx="6120000" cy="2880000"/>
            <wp:effectExtent l="0" t="0" r="14605" b="15875"/>
            <wp:docPr id="17" name="Diagrama 17">
              <a:extLst xmlns:a="http://schemas.openxmlformats.org/drawingml/2006/main">
                <a:ext uri="{FF2B5EF4-FFF2-40B4-BE49-F238E27FC236}">
                  <a16:creationId xmlns:a16="http://schemas.microsoft.com/office/drawing/2014/main" id="{39632839-654F-4644-A432-F8EACA776B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4E79B0" w:rsidRPr="00661D65">
        <w:rPr>
          <w:rFonts w:ascii="Times New Roman" w:hAnsi="Times New Roman" w:cs="Times New Roman"/>
        </w:rPr>
        <w:t xml:space="preserve"> </w:t>
      </w:r>
    </w:p>
    <w:p w14:paraId="642C7EB3" w14:textId="31472C72" w:rsidR="007264A2" w:rsidRPr="00157C0B" w:rsidRDefault="00A36A96" w:rsidP="00C128D6">
      <w:pPr>
        <w:rPr>
          <w:rFonts w:ascii="Times New Roman" w:hAnsi="Times New Roman" w:cs="Times New Roman"/>
          <w:bCs/>
          <w:i/>
          <w:iCs/>
          <w:sz w:val="24"/>
          <w:szCs w:val="24"/>
        </w:rPr>
      </w:pPr>
      <w:r>
        <w:rPr>
          <w:rFonts w:ascii="Times New Roman" w:hAnsi="Times New Roman" w:cs="Times New Roman"/>
          <w:bCs/>
          <w:i/>
          <w:iCs/>
          <w:sz w:val="24"/>
          <w:szCs w:val="24"/>
        </w:rPr>
        <w:t>12</w:t>
      </w:r>
      <w:r w:rsidR="0059257B" w:rsidRPr="00157C0B">
        <w:rPr>
          <w:rFonts w:ascii="Times New Roman" w:hAnsi="Times New Roman" w:cs="Times New Roman"/>
          <w:bCs/>
          <w:i/>
          <w:iCs/>
          <w:sz w:val="24"/>
          <w:szCs w:val="24"/>
        </w:rPr>
        <w:t xml:space="preserve"> paveikslas. Kontrolės procedūrų, kurių metu buvo naudojami kontroliniai klausimynai</w:t>
      </w:r>
      <w:r w:rsidR="009B1BD4" w:rsidRPr="00157C0B">
        <w:rPr>
          <w:rFonts w:ascii="Times New Roman" w:hAnsi="Times New Roman" w:cs="Times New Roman"/>
          <w:bCs/>
          <w:i/>
          <w:iCs/>
          <w:sz w:val="24"/>
          <w:szCs w:val="24"/>
        </w:rPr>
        <w:t>,</w:t>
      </w:r>
      <w:r w:rsidR="00C17998" w:rsidRPr="00157C0B">
        <w:rPr>
          <w:rFonts w:ascii="Times New Roman" w:hAnsi="Times New Roman" w:cs="Times New Roman"/>
          <w:bCs/>
          <w:i/>
          <w:iCs/>
          <w:sz w:val="24"/>
          <w:szCs w:val="24"/>
        </w:rPr>
        <w:t xml:space="preserve"> skaičius</w:t>
      </w:r>
      <w:r w:rsidR="00490479" w:rsidRPr="00157C0B">
        <w:rPr>
          <w:rFonts w:ascii="Times New Roman" w:hAnsi="Times New Roman" w:cs="Times New Roman"/>
          <w:bCs/>
          <w:i/>
          <w:iCs/>
          <w:sz w:val="24"/>
          <w:szCs w:val="24"/>
        </w:rPr>
        <w:t>.</w:t>
      </w:r>
    </w:p>
    <w:p w14:paraId="675503EC" w14:textId="6F896678" w:rsidR="00B63B77" w:rsidRPr="00661D65" w:rsidRDefault="0098734B" w:rsidP="00B63B77">
      <w:pPr>
        <w:spacing w:after="0" w:line="240" w:lineRule="auto"/>
        <w:ind w:firstLine="851"/>
        <w:jc w:val="both"/>
        <w:rPr>
          <w:rFonts w:ascii="Times New Roman" w:eastAsia="Calibri" w:hAnsi="Times New Roman" w:cs="Times New Roman"/>
          <w:sz w:val="24"/>
          <w:szCs w:val="24"/>
        </w:rPr>
      </w:pPr>
      <w:r w:rsidRPr="00157C0B">
        <w:rPr>
          <w:rFonts w:ascii="Times New Roman" w:eastAsia="Calibri" w:hAnsi="Times New Roman" w:cs="Times New Roman"/>
          <w:b/>
          <w:iCs/>
          <w:sz w:val="24"/>
          <w:szCs w:val="24"/>
        </w:rPr>
        <w:t xml:space="preserve">15. Vertinamuoju laikotarpiu atliktų bendrų TLK ir (ar) VLK ekspertizių skaičius. </w:t>
      </w:r>
      <w:r w:rsidR="00A57FA4" w:rsidRPr="00661D65">
        <w:rPr>
          <w:rFonts w:ascii="Times New Roman" w:eastAsia="Calibri" w:hAnsi="Times New Roman" w:cs="Times New Roman"/>
          <w:sz w:val="24"/>
          <w:szCs w:val="24"/>
        </w:rPr>
        <w:t>Atkreiptinas dėmesys, kad rengiant 2023</w:t>
      </w:r>
      <w:r w:rsidR="00B63B77" w:rsidRPr="00661D65">
        <w:rPr>
          <w:rFonts w:ascii="Times New Roman" w:eastAsia="Calibri" w:hAnsi="Times New Roman" w:cs="Times New Roman"/>
          <w:sz w:val="24"/>
          <w:szCs w:val="24"/>
        </w:rPr>
        <w:t> </w:t>
      </w:r>
      <w:r w:rsidR="00A57FA4" w:rsidRPr="00661D65">
        <w:rPr>
          <w:rFonts w:ascii="Times New Roman" w:eastAsia="Calibri" w:hAnsi="Times New Roman" w:cs="Times New Roman"/>
          <w:sz w:val="24"/>
          <w:szCs w:val="24"/>
        </w:rPr>
        <w:t xml:space="preserve">m. ataskaitą bei siekiant formuoti bendrą įstaigų ir įmonių patikrinimų metu nustatytų neatitikčių vertinimo praktiką, visoms TLK buvo rekomenduojama 2024 m. organizuoti daugiau bendrų VLK ir TLK ekspertizių. </w:t>
      </w:r>
      <w:r w:rsidR="00B63B77" w:rsidRPr="00661D65">
        <w:rPr>
          <w:rFonts w:ascii="Times New Roman" w:eastAsia="Calibri" w:hAnsi="Times New Roman" w:cs="Times New Roman"/>
          <w:sz w:val="24"/>
          <w:szCs w:val="24"/>
        </w:rPr>
        <w:t>Tačiau ne</w:t>
      </w:r>
      <w:r w:rsidR="00961232" w:rsidRPr="00661D65">
        <w:rPr>
          <w:rFonts w:ascii="Times New Roman" w:eastAsia="Calibri" w:hAnsi="Times New Roman" w:cs="Times New Roman"/>
          <w:sz w:val="24"/>
          <w:szCs w:val="24"/>
        </w:rPr>
        <w:t xml:space="preserve"> v</w:t>
      </w:r>
      <w:r w:rsidRPr="00661D65">
        <w:rPr>
          <w:rFonts w:ascii="Times New Roman" w:eastAsia="Calibri" w:hAnsi="Times New Roman" w:cs="Times New Roman"/>
          <w:sz w:val="24"/>
          <w:szCs w:val="24"/>
        </w:rPr>
        <w:t xml:space="preserve">isos TLK </w:t>
      </w:r>
      <w:r w:rsidR="00F00FDA" w:rsidRPr="00661D65">
        <w:rPr>
          <w:rFonts w:ascii="Times New Roman" w:eastAsia="Calibri" w:hAnsi="Times New Roman" w:cs="Times New Roman"/>
          <w:sz w:val="24"/>
          <w:szCs w:val="24"/>
        </w:rPr>
        <w:t xml:space="preserve">2024 m. </w:t>
      </w:r>
      <w:r w:rsidR="00B63B77" w:rsidRPr="00661D65">
        <w:rPr>
          <w:rFonts w:ascii="Times New Roman" w:eastAsia="Calibri" w:hAnsi="Times New Roman" w:cs="Times New Roman"/>
          <w:sz w:val="24"/>
          <w:szCs w:val="24"/>
        </w:rPr>
        <w:lastRenderedPageBreak/>
        <w:t xml:space="preserve">organizavo bendras </w:t>
      </w:r>
      <w:r w:rsidR="00B63B77" w:rsidRPr="00661D65">
        <w:rPr>
          <w:rFonts w:ascii="Times New Roman" w:hAnsi="Times New Roman" w:cs="Times New Roman"/>
          <w:sz w:val="24"/>
          <w:szCs w:val="24"/>
        </w:rPr>
        <w:t xml:space="preserve">ekspertizes, arba bendrų </w:t>
      </w:r>
      <w:r w:rsidR="000350E8" w:rsidRPr="00661D65">
        <w:rPr>
          <w:rFonts w:ascii="Times New Roman" w:hAnsi="Times New Roman" w:cs="Times New Roman"/>
          <w:sz w:val="24"/>
          <w:szCs w:val="24"/>
        </w:rPr>
        <w:t>ekspertizių</w:t>
      </w:r>
      <w:r w:rsidR="005E195F" w:rsidRPr="00661D65">
        <w:rPr>
          <w:rFonts w:ascii="Times New Roman" w:hAnsi="Times New Roman" w:cs="Times New Roman"/>
          <w:bCs/>
          <w:sz w:val="24"/>
          <w:szCs w:val="24"/>
        </w:rPr>
        <w:t>,</w:t>
      </w:r>
      <w:r w:rsidR="000350E8" w:rsidRPr="00661D65">
        <w:rPr>
          <w:rFonts w:ascii="Times New Roman" w:hAnsi="Times New Roman" w:cs="Times New Roman"/>
          <w:sz w:val="24"/>
          <w:szCs w:val="24"/>
        </w:rPr>
        <w:t xml:space="preserve"> </w:t>
      </w:r>
      <w:r w:rsidR="00B63B77" w:rsidRPr="00661D65">
        <w:rPr>
          <w:rFonts w:ascii="Times New Roman" w:hAnsi="Times New Roman" w:cs="Times New Roman"/>
          <w:sz w:val="24"/>
          <w:szCs w:val="24"/>
        </w:rPr>
        <w:t>lyginant su 2023 m</w:t>
      </w:r>
      <w:r w:rsidR="00B63B77" w:rsidRPr="00661D65">
        <w:rPr>
          <w:rFonts w:ascii="Times New Roman" w:hAnsi="Times New Roman" w:cs="Times New Roman"/>
          <w:bCs/>
          <w:sz w:val="24"/>
          <w:szCs w:val="24"/>
        </w:rPr>
        <w:t>.</w:t>
      </w:r>
      <w:r w:rsidR="005E195F" w:rsidRPr="00661D65">
        <w:rPr>
          <w:rFonts w:ascii="Times New Roman" w:hAnsi="Times New Roman" w:cs="Times New Roman"/>
          <w:bCs/>
          <w:sz w:val="24"/>
          <w:szCs w:val="24"/>
        </w:rPr>
        <w:t>,</w:t>
      </w:r>
      <w:r w:rsidR="00B63B77" w:rsidRPr="00661D65">
        <w:rPr>
          <w:rFonts w:ascii="Times New Roman" w:hAnsi="Times New Roman" w:cs="Times New Roman"/>
          <w:sz w:val="24"/>
          <w:szCs w:val="24"/>
        </w:rPr>
        <w:t xml:space="preserve"> buvo mažiau, kuriose dalyvautų VLK ir TLK specialistai.</w:t>
      </w:r>
    </w:p>
    <w:p w14:paraId="23223CE9" w14:textId="71AC6B6F" w:rsidR="00A57FA4" w:rsidRPr="00B63B77" w:rsidRDefault="00AF523D" w:rsidP="00B63B77">
      <w:pPr>
        <w:spacing w:after="0" w:line="240" w:lineRule="auto"/>
        <w:ind w:firstLine="851"/>
        <w:jc w:val="both"/>
        <w:rPr>
          <w:rFonts w:ascii="Times New Roman" w:eastAsia="Calibri" w:hAnsi="Times New Roman" w:cs="Times New Roman"/>
          <w:bCs/>
          <w:iCs/>
          <w:sz w:val="24"/>
          <w:szCs w:val="24"/>
        </w:rPr>
      </w:pPr>
      <w:r w:rsidRPr="00661D65">
        <w:rPr>
          <w:rFonts w:ascii="Times New Roman" w:eastAsia="Calibri" w:hAnsi="Times New Roman" w:cs="Times New Roman"/>
          <w:sz w:val="24"/>
          <w:szCs w:val="24"/>
        </w:rPr>
        <w:t>Iš v</w:t>
      </w:r>
      <w:r w:rsidR="00883187" w:rsidRPr="00661D65">
        <w:rPr>
          <w:rFonts w:ascii="Times New Roman" w:eastAsia="Calibri" w:hAnsi="Times New Roman" w:cs="Times New Roman"/>
          <w:sz w:val="24"/>
          <w:szCs w:val="24"/>
        </w:rPr>
        <w:t xml:space="preserve">iso </w:t>
      </w:r>
      <w:r w:rsidR="00A57FA4" w:rsidRPr="00661D65">
        <w:rPr>
          <w:rFonts w:ascii="Times New Roman" w:eastAsia="Calibri" w:hAnsi="Times New Roman" w:cs="Times New Roman"/>
          <w:sz w:val="24"/>
          <w:szCs w:val="24"/>
        </w:rPr>
        <w:t xml:space="preserve">2024 m. </w:t>
      </w:r>
      <w:r w:rsidR="00883187" w:rsidRPr="00661D65">
        <w:rPr>
          <w:rFonts w:ascii="Times New Roman" w:eastAsia="Calibri" w:hAnsi="Times New Roman" w:cs="Times New Roman"/>
          <w:sz w:val="24"/>
          <w:szCs w:val="24"/>
        </w:rPr>
        <w:t xml:space="preserve">buvo </w:t>
      </w:r>
      <w:r w:rsidRPr="00661D65">
        <w:rPr>
          <w:rFonts w:ascii="Times New Roman" w:eastAsia="Calibri" w:hAnsi="Times New Roman" w:cs="Times New Roman"/>
          <w:sz w:val="24"/>
          <w:szCs w:val="24"/>
        </w:rPr>
        <w:t>su</w:t>
      </w:r>
      <w:r w:rsidR="00883187" w:rsidRPr="00661D65">
        <w:rPr>
          <w:rFonts w:ascii="Times New Roman" w:eastAsia="Calibri" w:hAnsi="Times New Roman" w:cs="Times New Roman"/>
          <w:sz w:val="24"/>
          <w:szCs w:val="24"/>
        </w:rPr>
        <w:t xml:space="preserve">organizuota </w:t>
      </w:r>
      <w:r w:rsidR="00F00FDA" w:rsidRPr="00661D65">
        <w:rPr>
          <w:rFonts w:ascii="Times New Roman" w:eastAsia="Calibri" w:hAnsi="Times New Roman" w:cs="Times New Roman"/>
          <w:sz w:val="24"/>
          <w:szCs w:val="24"/>
        </w:rPr>
        <w:t xml:space="preserve">11 </w:t>
      </w:r>
      <w:r w:rsidR="00883187" w:rsidRPr="00661D65">
        <w:rPr>
          <w:rFonts w:ascii="Times New Roman" w:eastAsia="Calibri" w:hAnsi="Times New Roman" w:cs="Times New Roman"/>
          <w:sz w:val="24"/>
          <w:szCs w:val="24"/>
        </w:rPr>
        <w:t>bendrų ekspertizių</w:t>
      </w:r>
      <w:r w:rsidR="00F00FDA" w:rsidRPr="00661D65">
        <w:rPr>
          <w:rFonts w:ascii="Times New Roman" w:eastAsia="Calibri" w:hAnsi="Times New Roman" w:cs="Times New Roman"/>
          <w:sz w:val="24"/>
          <w:szCs w:val="24"/>
        </w:rPr>
        <w:t xml:space="preserve">, </w:t>
      </w:r>
      <w:r w:rsidR="00F00FDA" w:rsidRPr="00661D65">
        <w:rPr>
          <w:rFonts w:ascii="Times New Roman" w:hAnsi="Times New Roman" w:cs="Times New Roman"/>
          <w:sz w:val="24"/>
          <w:szCs w:val="24"/>
        </w:rPr>
        <w:t>tai 4 mažiau nei 2023 m</w:t>
      </w:r>
      <w:r w:rsidR="00A57FA4" w:rsidRPr="00661D65">
        <w:rPr>
          <w:rFonts w:ascii="Times New Roman" w:hAnsi="Times New Roman" w:cs="Times New Roman"/>
          <w:sz w:val="24"/>
          <w:szCs w:val="24"/>
        </w:rPr>
        <w:t>.</w:t>
      </w:r>
      <w:r w:rsidR="00A725B5" w:rsidRPr="00661D65">
        <w:rPr>
          <w:rFonts w:ascii="Times New Roman" w:hAnsi="Times New Roman" w:cs="Times New Roman"/>
          <w:sz w:val="24"/>
          <w:szCs w:val="24"/>
        </w:rPr>
        <w:t xml:space="preserve">, kai </w:t>
      </w:r>
      <w:r w:rsidR="00B63B77" w:rsidRPr="00661D65">
        <w:rPr>
          <w:rFonts w:ascii="Times New Roman" w:hAnsi="Times New Roman" w:cs="Times New Roman"/>
          <w:sz w:val="24"/>
          <w:szCs w:val="24"/>
        </w:rPr>
        <w:t xml:space="preserve">buvo </w:t>
      </w:r>
      <w:r w:rsidR="00A57FA4" w:rsidRPr="00661D65">
        <w:rPr>
          <w:rFonts w:ascii="Times New Roman" w:hAnsi="Times New Roman" w:cs="Times New Roman"/>
          <w:sz w:val="24"/>
          <w:szCs w:val="24"/>
        </w:rPr>
        <w:t>vykdyta 15 bendrų ekspertizių</w:t>
      </w:r>
      <w:r w:rsidR="005E195F" w:rsidRPr="00661D65">
        <w:rPr>
          <w:rFonts w:ascii="Times New Roman" w:hAnsi="Times New Roman" w:cs="Times New Roman"/>
          <w:bCs/>
          <w:sz w:val="24"/>
          <w:szCs w:val="24"/>
        </w:rPr>
        <w:t>.</w:t>
      </w:r>
      <w:r w:rsidR="00B63B77" w:rsidRPr="00661D65">
        <w:rPr>
          <w:rFonts w:ascii="Times New Roman" w:hAnsi="Times New Roman" w:cs="Times New Roman"/>
          <w:sz w:val="24"/>
          <w:szCs w:val="24"/>
        </w:rPr>
        <w:t xml:space="preserve"> </w:t>
      </w:r>
      <w:r w:rsidR="00A57FA4" w:rsidRPr="00661D65">
        <w:rPr>
          <w:rFonts w:ascii="Times New Roman" w:hAnsi="Times New Roman" w:cs="Times New Roman"/>
          <w:sz w:val="24"/>
          <w:szCs w:val="24"/>
        </w:rPr>
        <w:t xml:space="preserve">Vilniaus TLK 2024 m. suorganizavo 5 </w:t>
      </w:r>
      <w:r w:rsidR="00A57FA4" w:rsidRPr="00661D65">
        <w:rPr>
          <w:rFonts w:ascii="Times New Roman" w:hAnsi="Times New Roman" w:cs="Times New Roman"/>
          <w:bCs/>
          <w:sz w:val="24"/>
          <w:szCs w:val="24"/>
        </w:rPr>
        <w:t>bendr</w:t>
      </w:r>
      <w:r w:rsidR="005E195F" w:rsidRPr="00661D65">
        <w:rPr>
          <w:rFonts w:ascii="Times New Roman" w:hAnsi="Times New Roman" w:cs="Times New Roman"/>
          <w:bCs/>
          <w:sz w:val="24"/>
          <w:szCs w:val="24"/>
        </w:rPr>
        <w:t>as ekspertizes</w:t>
      </w:r>
      <w:r w:rsidR="00A57FA4" w:rsidRPr="00661D65">
        <w:rPr>
          <w:rFonts w:ascii="Times New Roman" w:hAnsi="Times New Roman" w:cs="Times New Roman"/>
          <w:sz w:val="24"/>
          <w:szCs w:val="24"/>
        </w:rPr>
        <w:t>, tai</w:t>
      </w:r>
      <w:r w:rsidR="00A57FA4" w:rsidRPr="00661D65">
        <w:rPr>
          <w:rFonts w:ascii="Times New Roman" w:hAnsi="Times New Roman" w:cs="Times New Roman"/>
          <w:bCs/>
          <w:sz w:val="24"/>
          <w:szCs w:val="24"/>
        </w:rPr>
        <w:t xml:space="preserve"> 5</w:t>
      </w:r>
      <w:r w:rsidR="00A57FA4" w:rsidRPr="00661D65">
        <w:rPr>
          <w:rFonts w:ascii="Times New Roman" w:hAnsi="Times New Roman" w:cs="Times New Roman"/>
          <w:sz w:val="24"/>
          <w:szCs w:val="24"/>
        </w:rPr>
        <w:t xml:space="preserve"> mažiau nei 2023 m., Kauno TLK bendrų </w:t>
      </w:r>
      <w:r w:rsidR="005E195F" w:rsidRPr="00661D65">
        <w:rPr>
          <w:rFonts w:ascii="Times New Roman" w:hAnsi="Times New Roman" w:cs="Times New Roman"/>
          <w:bCs/>
          <w:sz w:val="24"/>
          <w:szCs w:val="24"/>
        </w:rPr>
        <w:t>ekspertizių</w:t>
      </w:r>
      <w:r w:rsidR="00A57FA4" w:rsidRPr="00661D65">
        <w:rPr>
          <w:rFonts w:ascii="Times New Roman" w:hAnsi="Times New Roman" w:cs="Times New Roman"/>
          <w:sz w:val="24"/>
          <w:szCs w:val="24"/>
        </w:rPr>
        <w:t xml:space="preserve"> per 2 metus neinici</w:t>
      </w:r>
      <w:r w:rsidR="000350E8" w:rsidRPr="00661D65">
        <w:rPr>
          <w:rFonts w:ascii="Times New Roman" w:hAnsi="Times New Roman" w:cs="Times New Roman"/>
          <w:sz w:val="24"/>
          <w:szCs w:val="24"/>
        </w:rPr>
        <w:t>j</w:t>
      </w:r>
      <w:r w:rsidR="00A57FA4" w:rsidRPr="00661D65">
        <w:rPr>
          <w:rFonts w:ascii="Times New Roman" w:hAnsi="Times New Roman" w:cs="Times New Roman"/>
          <w:sz w:val="24"/>
          <w:szCs w:val="24"/>
        </w:rPr>
        <w:t>avo, Klaipėd</w:t>
      </w:r>
      <w:r w:rsidR="000350E8" w:rsidRPr="00661D65">
        <w:rPr>
          <w:rFonts w:ascii="Times New Roman" w:hAnsi="Times New Roman" w:cs="Times New Roman"/>
          <w:sz w:val="24"/>
          <w:szCs w:val="24"/>
        </w:rPr>
        <w:t>os TLK</w:t>
      </w:r>
      <w:r w:rsidR="00A57FA4" w:rsidRPr="00661D65">
        <w:rPr>
          <w:rFonts w:ascii="Times New Roman" w:hAnsi="Times New Roman" w:cs="Times New Roman"/>
          <w:sz w:val="24"/>
          <w:szCs w:val="24"/>
        </w:rPr>
        <w:t xml:space="preserve"> 2023 m. neorganizavo bendrų </w:t>
      </w:r>
      <w:r w:rsidR="005E195F" w:rsidRPr="00661D65">
        <w:rPr>
          <w:rFonts w:ascii="Times New Roman" w:hAnsi="Times New Roman" w:cs="Times New Roman"/>
          <w:bCs/>
          <w:sz w:val="24"/>
          <w:szCs w:val="24"/>
        </w:rPr>
        <w:t>ekspertizių</w:t>
      </w:r>
      <w:r w:rsidR="00A57FA4" w:rsidRPr="00661D65">
        <w:rPr>
          <w:rFonts w:ascii="Times New Roman" w:hAnsi="Times New Roman" w:cs="Times New Roman"/>
          <w:sz w:val="24"/>
          <w:szCs w:val="24"/>
        </w:rPr>
        <w:t xml:space="preserve">, tačiau 2024 m. atliko 1 bendrą </w:t>
      </w:r>
      <w:r w:rsidR="005E195F" w:rsidRPr="00661D65">
        <w:rPr>
          <w:rFonts w:ascii="Times New Roman" w:hAnsi="Times New Roman" w:cs="Times New Roman"/>
          <w:bCs/>
          <w:sz w:val="24"/>
          <w:szCs w:val="24"/>
        </w:rPr>
        <w:t>ekspertizę</w:t>
      </w:r>
      <w:r w:rsidR="00B63B77" w:rsidRPr="00661D65">
        <w:rPr>
          <w:rFonts w:ascii="Times New Roman" w:hAnsi="Times New Roman" w:cs="Times New Roman"/>
          <w:sz w:val="24"/>
          <w:szCs w:val="24"/>
        </w:rPr>
        <w:t xml:space="preserve"> </w:t>
      </w:r>
      <w:r w:rsidR="00A57FA4" w:rsidRPr="00661D65">
        <w:rPr>
          <w:rFonts w:ascii="Times New Roman" w:hAnsi="Times New Roman" w:cs="Times New Roman"/>
          <w:sz w:val="24"/>
          <w:szCs w:val="24"/>
        </w:rPr>
        <w:t xml:space="preserve">su VLK, Panevėžio TLK </w:t>
      </w:r>
      <w:r w:rsidR="00B63B77" w:rsidRPr="00661D65">
        <w:rPr>
          <w:rFonts w:ascii="Times New Roman" w:hAnsi="Times New Roman" w:cs="Times New Roman"/>
          <w:sz w:val="24"/>
          <w:szCs w:val="24"/>
        </w:rPr>
        <w:t xml:space="preserve">2024 m. atliko 3 </w:t>
      </w:r>
      <w:r w:rsidR="00B63B77" w:rsidRPr="00661D65">
        <w:rPr>
          <w:rFonts w:ascii="Times New Roman" w:hAnsi="Times New Roman" w:cs="Times New Roman"/>
          <w:bCs/>
          <w:sz w:val="24"/>
          <w:szCs w:val="24"/>
        </w:rPr>
        <w:t>bendr</w:t>
      </w:r>
      <w:r w:rsidR="005E195F" w:rsidRPr="00661D65">
        <w:rPr>
          <w:rFonts w:ascii="Times New Roman" w:hAnsi="Times New Roman" w:cs="Times New Roman"/>
          <w:bCs/>
          <w:sz w:val="24"/>
          <w:szCs w:val="24"/>
        </w:rPr>
        <w:t>as ekspertizes</w:t>
      </w:r>
      <w:r w:rsidR="00B63B77" w:rsidRPr="00661D65">
        <w:rPr>
          <w:rFonts w:ascii="Times New Roman" w:hAnsi="Times New Roman" w:cs="Times New Roman"/>
          <w:sz w:val="24"/>
          <w:szCs w:val="24"/>
        </w:rPr>
        <w:t xml:space="preserve">, tai 1 daugiau nei 2023 m., o Šiaulių TLK 2024 m. atliko 2 </w:t>
      </w:r>
      <w:r w:rsidR="00B63B77" w:rsidRPr="00661D65">
        <w:rPr>
          <w:rFonts w:ascii="Times New Roman" w:hAnsi="Times New Roman" w:cs="Times New Roman"/>
          <w:bCs/>
          <w:sz w:val="24"/>
          <w:szCs w:val="24"/>
        </w:rPr>
        <w:t>bendr</w:t>
      </w:r>
      <w:r w:rsidR="005E195F" w:rsidRPr="00661D65">
        <w:rPr>
          <w:rFonts w:ascii="Times New Roman" w:hAnsi="Times New Roman" w:cs="Times New Roman"/>
          <w:bCs/>
          <w:sz w:val="24"/>
          <w:szCs w:val="24"/>
        </w:rPr>
        <w:t>as ekspertizes su VLK</w:t>
      </w:r>
      <w:r w:rsidR="00B63B77" w:rsidRPr="00661D65">
        <w:rPr>
          <w:rFonts w:ascii="Times New Roman" w:hAnsi="Times New Roman" w:cs="Times New Roman"/>
          <w:sz w:val="24"/>
          <w:szCs w:val="24"/>
        </w:rPr>
        <w:t>, tai 1 mažiau nei 2023 m.</w:t>
      </w:r>
      <w:r w:rsidR="00B63B77">
        <w:rPr>
          <w:rFonts w:ascii="Times New Roman" w:hAnsi="Times New Roman" w:cs="Times New Roman"/>
          <w:bCs/>
          <w:sz w:val="24"/>
          <w:szCs w:val="24"/>
        </w:rPr>
        <w:t xml:space="preserve"> </w:t>
      </w:r>
    </w:p>
    <w:p w14:paraId="77C39F18" w14:textId="77777777" w:rsidR="0098734B" w:rsidRPr="00157C0B" w:rsidRDefault="0098734B" w:rsidP="00E43383">
      <w:pPr>
        <w:tabs>
          <w:tab w:val="left" w:pos="709"/>
          <w:tab w:val="left" w:pos="3402"/>
        </w:tabs>
        <w:spacing w:after="0" w:line="240" w:lineRule="auto"/>
        <w:ind w:firstLine="851"/>
        <w:jc w:val="both"/>
        <w:rPr>
          <w:rFonts w:ascii="Times New Roman" w:eastAsia="Calibri" w:hAnsi="Times New Roman" w:cs="Times New Roman"/>
          <w:b/>
          <w:iCs/>
          <w:sz w:val="24"/>
          <w:szCs w:val="24"/>
        </w:rPr>
      </w:pPr>
    </w:p>
    <w:p w14:paraId="439C0840" w14:textId="42CE6ACC" w:rsidR="00A36A96" w:rsidRPr="00157C0B" w:rsidRDefault="00484361" w:rsidP="00E43383">
      <w:pPr>
        <w:tabs>
          <w:tab w:val="left" w:pos="3402"/>
        </w:tabs>
        <w:spacing w:after="0" w:line="240" w:lineRule="auto"/>
        <w:ind w:firstLine="851"/>
        <w:jc w:val="both"/>
        <w:rPr>
          <w:rFonts w:ascii="Times New Roman" w:eastAsia="Calibri" w:hAnsi="Times New Roman" w:cs="Times New Roman"/>
          <w:b/>
          <w:iCs/>
          <w:sz w:val="24"/>
          <w:szCs w:val="24"/>
        </w:rPr>
      </w:pPr>
      <w:r w:rsidRPr="00157C0B">
        <w:rPr>
          <w:rFonts w:ascii="Times New Roman" w:eastAsia="Calibri" w:hAnsi="Times New Roman" w:cs="Times New Roman"/>
          <w:b/>
          <w:iCs/>
          <w:sz w:val="24"/>
          <w:szCs w:val="24"/>
        </w:rPr>
        <w:t>Grįžtam</w:t>
      </w:r>
      <w:r w:rsidR="00866C77" w:rsidRPr="00157C0B">
        <w:rPr>
          <w:rFonts w:ascii="Times New Roman" w:eastAsia="Calibri" w:hAnsi="Times New Roman" w:cs="Times New Roman"/>
          <w:b/>
          <w:iCs/>
          <w:sz w:val="24"/>
          <w:szCs w:val="24"/>
        </w:rPr>
        <w:t>ojo</w:t>
      </w:r>
      <w:r w:rsidRPr="00157C0B">
        <w:rPr>
          <w:rFonts w:ascii="Times New Roman" w:eastAsia="Calibri" w:hAnsi="Times New Roman" w:cs="Times New Roman"/>
          <w:b/>
          <w:iCs/>
          <w:sz w:val="24"/>
          <w:szCs w:val="24"/>
        </w:rPr>
        <w:t xml:space="preserve"> </w:t>
      </w:r>
      <w:r w:rsidR="00A047B5" w:rsidRPr="00157C0B">
        <w:rPr>
          <w:rFonts w:ascii="Times New Roman" w:eastAsia="Calibri" w:hAnsi="Times New Roman" w:cs="Times New Roman"/>
          <w:b/>
          <w:iCs/>
          <w:sz w:val="24"/>
          <w:szCs w:val="24"/>
        </w:rPr>
        <w:t>ryšio duomenų analizė</w:t>
      </w:r>
    </w:p>
    <w:p w14:paraId="60199094" w14:textId="77777777" w:rsidR="00A36A96" w:rsidRDefault="00D33053" w:rsidP="00E43383">
      <w:pPr>
        <w:tabs>
          <w:tab w:val="left" w:pos="3402"/>
        </w:tabs>
        <w:spacing w:after="0" w:line="240" w:lineRule="auto"/>
        <w:ind w:firstLine="851"/>
        <w:jc w:val="both"/>
        <w:rPr>
          <w:rFonts w:ascii="Times New Roman" w:eastAsia="Calibri" w:hAnsi="Times New Roman" w:cs="Times New Roman"/>
          <w:bCs/>
          <w:color w:val="000000"/>
          <w:sz w:val="24"/>
          <w:szCs w:val="24"/>
          <w:lang w:eastAsia="lt-LT"/>
        </w:rPr>
      </w:pPr>
      <w:r w:rsidRPr="00157C0B">
        <w:rPr>
          <w:rFonts w:ascii="Times New Roman" w:eastAsia="Calibri" w:hAnsi="Times New Roman" w:cs="Times New Roman"/>
          <w:bCs/>
          <w:color w:val="000000"/>
          <w:sz w:val="24"/>
          <w:szCs w:val="24"/>
          <w:lang w:eastAsia="lt-LT"/>
        </w:rPr>
        <w:t>Grįžtam</w:t>
      </w:r>
      <w:r w:rsidR="00C67716" w:rsidRPr="00157C0B">
        <w:rPr>
          <w:rFonts w:ascii="Times New Roman" w:eastAsia="Calibri" w:hAnsi="Times New Roman" w:cs="Times New Roman"/>
          <w:bCs/>
          <w:color w:val="000000"/>
          <w:sz w:val="24"/>
          <w:szCs w:val="24"/>
          <w:lang w:eastAsia="lt-LT"/>
        </w:rPr>
        <w:t>asis</w:t>
      </w:r>
      <w:r w:rsidRPr="00157C0B">
        <w:rPr>
          <w:rFonts w:ascii="Times New Roman" w:eastAsia="Calibri" w:hAnsi="Times New Roman" w:cs="Times New Roman"/>
          <w:bCs/>
          <w:color w:val="000000"/>
          <w:sz w:val="24"/>
          <w:szCs w:val="24"/>
          <w:lang w:eastAsia="lt-LT"/>
        </w:rPr>
        <w:t xml:space="preserve"> ryš</w:t>
      </w:r>
      <w:r w:rsidR="00AF523D" w:rsidRPr="00157C0B">
        <w:rPr>
          <w:rFonts w:ascii="Times New Roman" w:eastAsia="Calibri" w:hAnsi="Times New Roman" w:cs="Times New Roman"/>
          <w:bCs/>
          <w:color w:val="000000"/>
          <w:sz w:val="24"/>
          <w:szCs w:val="24"/>
          <w:lang w:eastAsia="lt-LT"/>
        </w:rPr>
        <w:t>y</w:t>
      </w:r>
      <w:r w:rsidR="00C67716" w:rsidRPr="00157C0B">
        <w:rPr>
          <w:rFonts w:ascii="Times New Roman" w:eastAsia="Calibri" w:hAnsi="Times New Roman" w:cs="Times New Roman"/>
          <w:bCs/>
          <w:color w:val="000000"/>
          <w:sz w:val="24"/>
          <w:szCs w:val="24"/>
          <w:lang w:eastAsia="lt-LT"/>
        </w:rPr>
        <w:t xml:space="preserve">s </w:t>
      </w:r>
      <w:r w:rsidRPr="00157C0B">
        <w:rPr>
          <w:rFonts w:ascii="Times New Roman" w:eastAsia="Calibri" w:hAnsi="Times New Roman" w:cs="Times New Roman"/>
          <w:bCs/>
          <w:color w:val="000000"/>
          <w:sz w:val="24"/>
          <w:szCs w:val="24"/>
          <w:lang w:eastAsia="lt-LT"/>
        </w:rPr>
        <w:t xml:space="preserve">su ūkio subjektais, sudariusiais sutartį su </w:t>
      </w:r>
      <w:r w:rsidR="00C67716" w:rsidRPr="00157C0B">
        <w:rPr>
          <w:rFonts w:ascii="Times New Roman" w:eastAsia="Calibri" w:hAnsi="Times New Roman" w:cs="Times New Roman"/>
          <w:bCs/>
          <w:color w:val="000000"/>
          <w:sz w:val="24"/>
          <w:szCs w:val="24"/>
          <w:lang w:eastAsia="lt-LT"/>
        </w:rPr>
        <w:t xml:space="preserve">VLK </w:t>
      </w:r>
      <w:r w:rsidRPr="00157C0B">
        <w:rPr>
          <w:rFonts w:ascii="Times New Roman" w:eastAsia="Calibri" w:hAnsi="Times New Roman" w:cs="Times New Roman"/>
          <w:bCs/>
          <w:color w:val="000000"/>
          <w:sz w:val="24"/>
          <w:szCs w:val="24"/>
          <w:lang w:eastAsia="lt-LT"/>
        </w:rPr>
        <w:t xml:space="preserve">ir (ar) </w:t>
      </w:r>
      <w:r w:rsidR="00C67716" w:rsidRPr="00157C0B">
        <w:rPr>
          <w:rFonts w:ascii="Times New Roman" w:eastAsia="Calibri" w:hAnsi="Times New Roman" w:cs="Times New Roman"/>
          <w:bCs/>
          <w:color w:val="000000"/>
          <w:sz w:val="24"/>
          <w:szCs w:val="24"/>
          <w:lang w:eastAsia="lt-LT"/>
        </w:rPr>
        <w:t>TLK</w:t>
      </w:r>
      <w:r w:rsidR="00AF523D" w:rsidRPr="00157C0B">
        <w:rPr>
          <w:rFonts w:ascii="Times New Roman" w:eastAsia="Calibri" w:hAnsi="Times New Roman" w:cs="Times New Roman"/>
          <w:bCs/>
          <w:color w:val="000000"/>
          <w:sz w:val="24"/>
          <w:szCs w:val="24"/>
          <w:lang w:eastAsia="lt-LT"/>
        </w:rPr>
        <w:t>, palaikomas ir</w:t>
      </w:r>
      <w:r w:rsidR="003F48AE" w:rsidRPr="00157C0B">
        <w:rPr>
          <w:rFonts w:ascii="Times New Roman" w:eastAsia="Calibri" w:hAnsi="Times New Roman" w:cs="Times New Roman"/>
          <w:bCs/>
          <w:color w:val="000000"/>
          <w:sz w:val="24"/>
          <w:szCs w:val="24"/>
          <w:lang w:eastAsia="lt-LT"/>
        </w:rPr>
        <w:t xml:space="preserve"> jo</w:t>
      </w:r>
      <w:r w:rsidR="00091F80" w:rsidRPr="00157C0B">
        <w:rPr>
          <w:rFonts w:ascii="Times New Roman" w:eastAsia="Calibri" w:hAnsi="Times New Roman" w:cs="Times New Roman"/>
          <w:bCs/>
          <w:color w:val="000000"/>
          <w:sz w:val="24"/>
          <w:szCs w:val="24"/>
          <w:lang w:eastAsia="lt-LT"/>
        </w:rPr>
        <w:t xml:space="preserve"> analizė </w:t>
      </w:r>
      <w:r w:rsidR="00AF523D" w:rsidRPr="00157C0B">
        <w:rPr>
          <w:rFonts w:ascii="Times New Roman" w:eastAsia="Calibri" w:hAnsi="Times New Roman" w:cs="Times New Roman"/>
          <w:bCs/>
          <w:color w:val="000000"/>
          <w:sz w:val="24"/>
          <w:szCs w:val="24"/>
          <w:lang w:eastAsia="lt-LT"/>
        </w:rPr>
        <w:t>atliekama</w:t>
      </w:r>
      <w:r w:rsidR="00C67716" w:rsidRPr="00157C0B">
        <w:rPr>
          <w:rFonts w:ascii="Times New Roman" w:eastAsia="Calibri" w:hAnsi="Times New Roman" w:cs="Times New Roman"/>
          <w:bCs/>
          <w:color w:val="000000"/>
          <w:sz w:val="24"/>
          <w:szCs w:val="24"/>
          <w:lang w:eastAsia="lt-LT"/>
        </w:rPr>
        <w:t xml:space="preserve"> vadovaujantis Grįžtamojo ryšio su ūkio subjektais, sudariusiais sutartį su VLK ir (ar) TLK, užtikrinimo tvarkos aprašu, patvirtintu VLK direktoriaus 2020</w:t>
      </w:r>
      <w:r w:rsidR="00BD4303">
        <w:rPr>
          <w:rFonts w:ascii="Times New Roman" w:eastAsia="Calibri" w:hAnsi="Times New Roman" w:cs="Times New Roman"/>
          <w:bCs/>
          <w:color w:val="000000"/>
          <w:sz w:val="24"/>
          <w:szCs w:val="24"/>
          <w:lang w:eastAsia="lt-LT"/>
        </w:rPr>
        <w:t> </w:t>
      </w:r>
      <w:r w:rsidR="00C67716" w:rsidRPr="00157C0B">
        <w:rPr>
          <w:rFonts w:ascii="Times New Roman" w:eastAsia="Calibri" w:hAnsi="Times New Roman" w:cs="Times New Roman"/>
          <w:bCs/>
          <w:color w:val="000000"/>
          <w:sz w:val="24"/>
          <w:szCs w:val="24"/>
          <w:lang w:eastAsia="lt-LT"/>
        </w:rPr>
        <w:t>m. kovo 6</w:t>
      </w:r>
      <w:r w:rsidR="00BD4303">
        <w:rPr>
          <w:rFonts w:ascii="Times New Roman" w:eastAsia="Calibri" w:hAnsi="Times New Roman" w:cs="Times New Roman"/>
          <w:bCs/>
          <w:color w:val="000000"/>
          <w:sz w:val="24"/>
          <w:szCs w:val="24"/>
          <w:lang w:eastAsia="lt-LT"/>
        </w:rPr>
        <w:t> </w:t>
      </w:r>
      <w:r w:rsidR="00C67716" w:rsidRPr="00157C0B">
        <w:rPr>
          <w:rFonts w:ascii="Times New Roman" w:eastAsia="Calibri" w:hAnsi="Times New Roman" w:cs="Times New Roman"/>
          <w:bCs/>
          <w:color w:val="000000"/>
          <w:sz w:val="24"/>
          <w:szCs w:val="24"/>
          <w:lang w:eastAsia="lt-LT"/>
        </w:rPr>
        <w:t>d. įsakymu Nr.</w:t>
      </w:r>
      <w:r w:rsidR="00BD4303">
        <w:rPr>
          <w:rFonts w:ascii="Times New Roman" w:eastAsia="Calibri" w:hAnsi="Times New Roman" w:cs="Times New Roman"/>
          <w:bCs/>
          <w:color w:val="000000"/>
          <w:sz w:val="24"/>
          <w:szCs w:val="24"/>
          <w:lang w:eastAsia="lt-LT"/>
        </w:rPr>
        <w:t> </w:t>
      </w:r>
      <w:r w:rsidR="00C67716" w:rsidRPr="00157C0B">
        <w:rPr>
          <w:rFonts w:ascii="Times New Roman" w:eastAsia="Calibri" w:hAnsi="Times New Roman" w:cs="Times New Roman"/>
          <w:bCs/>
          <w:color w:val="000000"/>
          <w:sz w:val="24"/>
          <w:szCs w:val="24"/>
          <w:lang w:eastAsia="lt-LT"/>
        </w:rPr>
        <w:t>1K-70 „Dėl Grįžtamojo ryšio su ūkio subjektais, sudariusiais sutartį su Valstybine ligonių kasa prie Sveikatos apsaugos ministerijos ir (ar) teritorinėmis ligonių kasomis, užtikrinimo tvarkos aprašo patvirtinimo“.</w:t>
      </w:r>
    </w:p>
    <w:p w14:paraId="001B449D" w14:textId="16D3693B" w:rsidR="0095484B" w:rsidRDefault="009505EE" w:rsidP="00E43383">
      <w:pPr>
        <w:tabs>
          <w:tab w:val="left" w:pos="3402"/>
        </w:tabs>
        <w:spacing w:after="0" w:line="240" w:lineRule="auto"/>
        <w:ind w:firstLine="851"/>
        <w:jc w:val="both"/>
        <w:rPr>
          <w:rFonts w:ascii="Times New Roman" w:eastAsia="Calibri" w:hAnsi="Times New Roman" w:cs="Times New Roman"/>
          <w:sz w:val="24"/>
          <w:szCs w:val="24"/>
        </w:rPr>
      </w:pPr>
      <w:r w:rsidRPr="00157C0B">
        <w:rPr>
          <w:rFonts w:ascii="Times New Roman" w:eastAsia="Calibri" w:hAnsi="Times New Roman" w:cs="Times New Roman"/>
          <w:bCs/>
          <w:iCs/>
          <w:color w:val="000000"/>
          <w:sz w:val="24"/>
          <w:szCs w:val="24"/>
          <w:lang w:eastAsia="lt-LT"/>
        </w:rPr>
        <w:t>Minėto teisės akto pagrindu ūkio subjektams kiekvieno einamojo mėnesio antrą</w:t>
      </w:r>
      <w:r w:rsidR="00FB74BD" w:rsidRPr="00157C0B">
        <w:rPr>
          <w:rFonts w:ascii="Times New Roman" w:eastAsia="Calibri" w:hAnsi="Times New Roman" w:cs="Times New Roman"/>
          <w:bCs/>
          <w:iCs/>
          <w:color w:val="000000"/>
          <w:sz w:val="24"/>
          <w:szCs w:val="24"/>
          <w:lang w:eastAsia="lt-LT"/>
        </w:rPr>
        <w:t>ją</w:t>
      </w:r>
      <w:r w:rsidRPr="00157C0B">
        <w:rPr>
          <w:rFonts w:ascii="Times New Roman" w:eastAsia="Calibri" w:hAnsi="Times New Roman" w:cs="Times New Roman"/>
          <w:bCs/>
          <w:iCs/>
          <w:color w:val="000000"/>
          <w:sz w:val="24"/>
          <w:szCs w:val="24"/>
          <w:lang w:eastAsia="lt-LT"/>
        </w:rPr>
        <w:t xml:space="preserve"> savaitę </w:t>
      </w:r>
      <w:r w:rsidR="00307A20" w:rsidRPr="00157C0B">
        <w:rPr>
          <w:rFonts w:ascii="Times New Roman" w:eastAsia="Calibri" w:hAnsi="Times New Roman" w:cs="Times New Roman"/>
          <w:bCs/>
          <w:iCs/>
          <w:color w:val="000000"/>
          <w:sz w:val="24"/>
          <w:szCs w:val="24"/>
          <w:lang w:eastAsia="lt-LT"/>
        </w:rPr>
        <w:t xml:space="preserve">jų nurodytu elektroninio pašto adresu </w:t>
      </w:r>
      <w:r w:rsidR="00091F80" w:rsidRPr="00157C0B">
        <w:rPr>
          <w:rFonts w:ascii="Times New Roman" w:eastAsia="Calibri" w:hAnsi="Times New Roman" w:cs="Times New Roman"/>
          <w:bCs/>
          <w:iCs/>
          <w:color w:val="000000"/>
          <w:sz w:val="24"/>
          <w:szCs w:val="24"/>
          <w:lang w:eastAsia="lt-LT"/>
        </w:rPr>
        <w:t xml:space="preserve">(teikiama elektroninė jo nuoroda) </w:t>
      </w:r>
      <w:r w:rsidRPr="00157C0B">
        <w:rPr>
          <w:rFonts w:ascii="Times New Roman" w:eastAsia="Calibri" w:hAnsi="Times New Roman" w:cs="Times New Roman"/>
          <w:bCs/>
          <w:iCs/>
          <w:color w:val="000000"/>
          <w:sz w:val="24"/>
          <w:szCs w:val="24"/>
          <w:lang w:eastAsia="lt-LT"/>
        </w:rPr>
        <w:t>išsiunčiamas</w:t>
      </w:r>
      <w:r w:rsidR="00CB3FB6" w:rsidRPr="00157C0B">
        <w:rPr>
          <w:rFonts w:ascii="Times New Roman" w:eastAsia="Calibri" w:hAnsi="Times New Roman" w:cs="Times New Roman"/>
          <w:bCs/>
          <w:iCs/>
          <w:color w:val="000000"/>
          <w:sz w:val="24"/>
          <w:szCs w:val="24"/>
          <w:lang w:eastAsia="lt-LT"/>
        </w:rPr>
        <w:t xml:space="preserve"> Grįžtamojo ryšio klausimynas dėl ūkio subjektų veiklos patikrinimo (toliau – </w:t>
      </w:r>
      <w:r w:rsidR="00AF523D" w:rsidRPr="00157C0B">
        <w:rPr>
          <w:rFonts w:ascii="Times New Roman" w:eastAsia="Calibri" w:hAnsi="Times New Roman" w:cs="Times New Roman"/>
          <w:bCs/>
          <w:iCs/>
          <w:color w:val="000000"/>
          <w:sz w:val="24"/>
          <w:szCs w:val="24"/>
          <w:lang w:eastAsia="lt-LT"/>
        </w:rPr>
        <w:t>k</w:t>
      </w:r>
      <w:r w:rsidR="00CB3FB6" w:rsidRPr="00157C0B">
        <w:rPr>
          <w:rFonts w:ascii="Times New Roman" w:eastAsia="Calibri" w:hAnsi="Times New Roman" w:cs="Times New Roman"/>
          <w:bCs/>
          <w:iCs/>
          <w:color w:val="000000"/>
          <w:sz w:val="24"/>
          <w:szCs w:val="24"/>
          <w:lang w:eastAsia="lt-LT"/>
        </w:rPr>
        <w:t>lausimynas)</w:t>
      </w:r>
      <w:r w:rsidR="00EA5475" w:rsidRPr="00157C0B">
        <w:rPr>
          <w:rStyle w:val="Puslapioinaosnuoroda"/>
          <w:rFonts w:ascii="Times New Roman" w:eastAsia="Calibri" w:hAnsi="Times New Roman" w:cs="Times New Roman"/>
          <w:bCs/>
          <w:iCs/>
          <w:color w:val="000000"/>
          <w:sz w:val="24"/>
          <w:szCs w:val="24"/>
          <w:lang w:eastAsia="lt-LT"/>
        </w:rPr>
        <w:footnoteReference w:id="2"/>
      </w:r>
      <w:r w:rsidR="00CB3FB6" w:rsidRPr="00157C0B">
        <w:rPr>
          <w:rFonts w:ascii="Times New Roman" w:eastAsia="Calibri" w:hAnsi="Times New Roman" w:cs="Times New Roman"/>
          <w:bCs/>
          <w:iCs/>
          <w:color w:val="000000"/>
          <w:sz w:val="24"/>
          <w:szCs w:val="24"/>
          <w:lang w:eastAsia="lt-LT"/>
        </w:rPr>
        <w:t>, siekiant išsiaiškinti jų nuomonę apie TLK atliktą patikrinimą</w:t>
      </w:r>
      <w:r w:rsidR="00BD4303">
        <w:rPr>
          <w:rFonts w:ascii="Times New Roman" w:eastAsia="Calibri" w:hAnsi="Times New Roman" w:cs="Times New Roman"/>
          <w:bCs/>
          <w:iCs/>
          <w:color w:val="000000"/>
          <w:sz w:val="24"/>
          <w:szCs w:val="24"/>
          <w:lang w:eastAsia="lt-LT"/>
        </w:rPr>
        <w:t xml:space="preserve"> (k</w:t>
      </w:r>
      <w:r w:rsidR="00CB3FB6" w:rsidRPr="00157C0B">
        <w:rPr>
          <w:rFonts w:ascii="Times New Roman" w:eastAsia="Calibri" w:hAnsi="Times New Roman" w:cs="Times New Roman"/>
          <w:bCs/>
          <w:iCs/>
          <w:color w:val="000000"/>
          <w:sz w:val="24"/>
          <w:szCs w:val="24"/>
          <w:lang w:eastAsia="lt-LT"/>
        </w:rPr>
        <w:t>lausimynas yra</w:t>
      </w:r>
      <w:r w:rsidRPr="00157C0B">
        <w:rPr>
          <w:rFonts w:ascii="Times New Roman" w:eastAsia="Calibri" w:hAnsi="Times New Roman" w:cs="Times New Roman"/>
          <w:bCs/>
          <w:iCs/>
          <w:color w:val="000000"/>
          <w:sz w:val="24"/>
          <w:szCs w:val="24"/>
          <w:lang w:eastAsia="lt-LT"/>
        </w:rPr>
        <w:t xml:space="preserve"> anoniminis</w:t>
      </w:r>
      <w:r w:rsidR="00AE6B5D">
        <w:rPr>
          <w:rFonts w:ascii="Times New Roman" w:eastAsia="Calibri" w:hAnsi="Times New Roman" w:cs="Times New Roman"/>
          <w:bCs/>
          <w:iCs/>
          <w:color w:val="000000"/>
          <w:sz w:val="24"/>
          <w:szCs w:val="24"/>
          <w:lang w:eastAsia="lt-LT"/>
        </w:rPr>
        <w:t>, jo pildymas savanoriškas</w:t>
      </w:r>
      <w:r w:rsidR="00BD4303">
        <w:rPr>
          <w:rFonts w:ascii="Times New Roman" w:eastAsia="Calibri" w:hAnsi="Times New Roman" w:cs="Times New Roman"/>
          <w:bCs/>
          <w:iCs/>
          <w:color w:val="000000"/>
          <w:sz w:val="24"/>
          <w:szCs w:val="24"/>
          <w:lang w:eastAsia="lt-LT"/>
        </w:rPr>
        <w:t>)</w:t>
      </w:r>
      <w:r w:rsidR="00EA5475" w:rsidRPr="00157C0B">
        <w:rPr>
          <w:rFonts w:ascii="Times New Roman" w:eastAsia="Calibri" w:hAnsi="Times New Roman" w:cs="Times New Roman"/>
          <w:bCs/>
          <w:iCs/>
          <w:color w:val="000000"/>
          <w:sz w:val="24"/>
          <w:szCs w:val="24"/>
          <w:lang w:eastAsia="lt-LT"/>
        </w:rPr>
        <w:t>.</w:t>
      </w:r>
      <w:r w:rsidR="00091F80" w:rsidRPr="00157C0B">
        <w:rPr>
          <w:rFonts w:ascii="Times New Roman" w:eastAsia="Calibri" w:hAnsi="Times New Roman" w:cs="Times New Roman"/>
          <w:sz w:val="24"/>
          <w:szCs w:val="24"/>
        </w:rPr>
        <w:t xml:space="preserve"> </w:t>
      </w:r>
    </w:p>
    <w:p w14:paraId="2B928946" w14:textId="5DC83E9D" w:rsidR="009505EE" w:rsidRPr="00157C0B" w:rsidRDefault="00091F80" w:rsidP="00E43383">
      <w:pPr>
        <w:tabs>
          <w:tab w:val="left" w:pos="3402"/>
        </w:tabs>
        <w:spacing w:after="0" w:line="240" w:lineRule="auto"/>
        <w:ind w:firstLine="851"/>
        <w:jc w:val="both"/>
        <w:rPr>
          <w:rFonts w:ascii="Times New Roman" w:eastAsia="Calibri" w:hAnsi="Times New Roman" w:cs="Times New Roman"/>
          <w:bCs/>
          <w:i/>
          <w:iCs/>
          <w:color w:val="000000"/>
          <w:sz w:val="24"/>
          <w:szCs w:val="24"/>
          <w:lang w:eastAsia="lt-LT"/>
        </w:rPr>
      </w:pPr>
      <w:r w:rsidRPr="00157C0B">
        <w:rPr>
          <w:rFonts w:ascii="Times New Roman" w:eastAsia="Calibri" w:hAnsi="Times New Roman" w:cs="Times New Roman"/>
          <w:bCs/>
          <w:iCs/>
          <w:color w:val="000000"/>
          <w:sz w:val="24"/>
          <w:szCs w:val="24"/>
          <w:lang w:eastAsia="lt-LT"/>
        </w:rPr>
        <w:t>202</w:t>
      </w:r>
      <w:r w:rsidR="00BD4303">
        <w:rPr>
          <w:rFonts w:ascii="Times New Roman" w:eastAsia="Calibri" w:hAnsi="Times New Roman" w:cs="Times New Roman"/>
          <w:bCs/>
          <w:iCs/>
          <w:color w:val="000000"/>
          <w:sz w:val="24"/>
          <w:szCs w:val="24"/>
          <w:lang w:eastAsia="lt-LT"/>
        </w:rPr>
        <w:t>4 </w:t>
      </w:r>
      <w:r w:rsidRPr="00157C0B">
        <w:rPr>
          <w:rFonts w:ascii="Times New Roman" w:eastAsia="Calibri" w:hAnsi="Times New Roman" w:cs="Times New Roman"/>
          <w:bCs/>
          <w:iCs/>
          <w:color w:val="000000"/>
          <w:sz w:val="24"/>
          <w:szCs w:val="24"/>
          <w:lang w:eastAsia="lt-LT"/>
        </w:rPr>
        <w:t xml:space="preserve">m. </w:t>
      </w:r>
      <w:r w:rsidR="00CB3FB6" w:rsidRPr="00157C0B">
        <w:rPr>
          <w:rFonts w:ascii="Times New Roman" w:eastAsia="Calibri" w:hAnsi="Times New Roman" w:cs="Times New Roman"/>
          <w:bCs/>
          <w:iCs/>
          <w:color w:val="000000"/>
          <w:sz w:val="24"/>
          <w:szCs w:val="24"/>
          <w:lang w:eastAsia="lt-LT"/>
        </w:rPr>
        <w:t xml:space="preserve">anoniminio </w:t>
      </w:r>
      <w:r w:rsidR="00AF523D" w:rsidRPr="00157C0B">
        <w:rPr>
          <w:rFonts w:ascii="Times New Roman" w:eastAsia="Calibri" w:hAnsi="Times New Roman" w:cs="Times New Roman"/>
          <w:bCs/>
          <w:iCs/>
          <w:color w:val="000000"/>
          <w:sz w:val="24"/>
          <w:szCs w:val="24"/>
          <w:lang w:eastAsia="lt-LT"/>
        </w:rPr>
        <w:t>k</w:t>
      </w:r>
      <w:r w:rsidR="00CB3FB6" w:rsidRPr="00157C0B">
        <w:rPr>
          <w:rFonts w:ascii="Times New Roman" w:eastAsia="Calibri" w:hAnsi="Times New Roman" w:cs="Times New Roman"/>
          <w:bCs/>
          <w:iCs/>
          <w:color w:val="000000"/>
          <w:sz w:val="24"/>
          <w:szCs w:val="24"/>
          <w:lang w:eastAsia="lt-LT"/>
        </w:rPr>
        <w:t xml:space="preserve">lausimyno nuoroda buvo pateikta </w:t>
      </w:r>
      <w:r w:rsidR="00BD4303">
        <w:rPr>
          <w:rFonts w:ascii="Times New Roman" w:eastAsia="Calibri" w:hAnsi="Times New Roman" w:cs="Times New Roman"/>
          <w:bCs/>
          <w:iCs/>
          <w:color w:val="000000"/>
          <w:sz w:val="24"/>
          <w:szCs w:val="24"/>
          <w:lang w:eastAsia="lt-LT"/>
        </w:rPr>
        <w:t>443</w:t>
      </w:r>
      <w:r w:rsidR="00BD4303" w:rsidRPr="00157C0B">
        <w:rPr>
          <w:rFonts w:ascii="Times New Roman" w:eastAsia="Calibri" w:hAnsi="Times New Roman" w:cs="Times New Roman"/>
          <w:bCs/>
          <w:iCs/>
          <w:color w:val="000000"/>
          <w:sz w:val="24"/>
          <w:szCs w:val="24"/>
          <w:lang w:eastAsia="lt-LT"/>
        </w:rPr>
        <w:t xml:space="preserve"> </w:t>
      </w:r>
      <w:r w:rsidR="00CB3FB6" w:rsidRPr="00157C0B">
        <w:rPr>
          <w:rFonts w:ascii="Times New Roman" w:eastAsia="Calibri" w:hAnsi="Times New Roman" w:cs="Times New Roman"/>
          <w:bCs/>
          <w:iCs/>
          <w:color w:val="000000"/>
          <w:sz w:val="24"/>
          <w:szCs w:val="24"/>
          <w:lang w:eastAsia="lt-LT"/>
        </w:rPr>
        <w:t>ūkio subjekt</w:t>
      </w:r>
      <w:r w:rsidR="00961232" w:rsidRPr="00157C0B">
        <w:rPr>
          <w:rFonts w:ascii="Times New Roman" w:eastAsia="Calibri" w:hAnsi="Times New Roman" w:cs="Times New Roman"/>
          <w:bCs/>
          <w:iCs/>
          <w:color w:val="000000"/>
          <w:sz w:val="24"/>
          <w:szCs w:val="24"/>
          <w:lang w:eastAsia="lt-LT"/>
        </w:rPr>
        <w:t>ams</w:t>
      </w:r>
      <w:r w:rsidR="00CB3FB6" w:rsidRPr="00157C0B">
        <w:rPr>
          <w:rFonts w:ascii="Times New Roman" w:eastAsia="Calibri" w:hAnsi="Times New Roman" w:cs="Times New Roman"/>
          <w:bCs/>
          <w:iCs/>
          <w:color w:val="000000"/>
          <w:sz w:val="24"/>
          <w:szCs w:val="24"/>
          <w:lang w:eastAsia="lt-LT"/>
        </w:rPr>
        <w:t xml:space="preserve"> nurodytais elektronini</w:t>
      </w:r>
      <w:r w:rsidR="001D64B1" w:rsidRPr="00157C0B">
        <w:rPr>
          <w:rFonts w:ascii="Times New Roman" w:eastAsia="Calibri" w:hAnsi="Times New Roman" w:cs="Times New Roman"/>
          <w:bCs/>
          <w:iCs/>
          <w:color w:val="000000"/>
          <w:sz w:val="24"/>
          <w:szCs w:val="24"/>
          <w:lang w:eastAsia="lt-LT"/>
        </w:rPr>
        <w:t>o</w:t>
      </w:r>
      <w:r w:rsidR="00CB3FB6" w:rsidRPr="00157C0B">
        <w:rPr>
          <w:rFonts w:ascii="Times New Roman" w:eastAsia="Calibri" w:hAnsi="Times New Roman" w:cs="Times New Roman"/>
          <w:bCs/>
          <w:iCs/>
          <w:color w:val="000000"/>
          <w:sz w:val="24"/>
          <w:szCs w:val="24"/>
          <w:lang w:eastAsia="lt-LT"/>
        </w:rPr>
        <w:t xml:space="preserve"> pašto adresais, t.</w:t>
      </w:r>
      <w:r w:rsidR="00BD4303">
        <w:rPr>
          <w:rFonts w:ascii="Times New Roman" w:eastAsia="Calibri" w:hAnsi="Times New Roman" w:cs="Times New Roman"/>
          <w:bCs/>
          <w:iCs/>
          <w:color w:val="000000"/>
          <w:sz w:val="24"/>
          <w:szCs w:val="24"/>
          <w:lang w:eastAsia="lt-LT"/>
        </w:rPr>
        <w:t> </w:t>
      </w:r>
      <w:r w:rsidR="00CB3FB6" w:rsidRPr="00157C0B">
        <w:rPr>
          <w:rFonts w:ascii="Times New Roman" w:eastAsia="Calibri" w:hAnsi="Times New Roman" w:cs="Times New Roman"/>
          <w:bCs/>
          <w:iCs/>
          <w:color w:val="000000"/>
          <w:sz w:val="24"/>
          <w:szCs w:val="24"/>
          <w:lang w:eastAsia="lt-LT"/>
        </w:rPr>
        <w:t xml:space="preserve">y. </w:t>
      </w:r>
      <w:r w:rsidR="00A32A4B" w:rsidRPr="00157C0B">
        <w:rPr>
          <w:rFonts w:ascii="Times New Roman" w:eastAsia="Calibri" w:hAnsi="Times New Roman" w:cs="Times New Roman"/>
          <w:bCs/>
          <w:iCs/>
          <w:color w:val="000000"/>
          <w:sz w:val="24"/>
          <w:szCs w:val="24"/>
          <w:lang w:eastAsia="lt-LT"/>
        </w:rPr>
        <w:t>202</w:t>
      </w:r>
      <w:r w:rsidR="00BD4303">
        <w:rPr>
          <w:rFonts w:ascii="Times New Roman" w:eastAsia="Calibri" w:hAnsi="Times New Roman" w:cs="Times New Roman"/>
          <w:bCs/>
          <w:iCs/>
          <w:color w:val="000000"/>
          <w:sz w:val="24"/>
          <w:szCs w:val="24"/>
          <w:lang w:eastAsia="lt-LT"/>
        </w:rPr>
        <w:t>4 </w:t>
      </w:r>
      <w:r w:rsidR="00A32A4B" w:rsidRPr="00157C0B">
        <w:rPr>
          <w:rFonts w:ascii="Times New Roman" w:eastAsia="Calibri" w:hAnsi="Times New Roman" w:cs="Times New Roman"/>
          <w:bCs/>
          <w:iCs/>
          <w:color w:val="000000"/>
          <w:sz w:val="24"/>
          <w:szCs w:val="24"/>
          <w:lang w:eastAsia="lt-LT"/>
        </w:rPr>
        <w:t xml:space="preserve">m. elektroninių adresų, kuriais buvo išsiųsta klausimyno nuoroda, buvo </w:t>
      </w:r>
      <w:r w:rsidR="008C0366">
        <w:rPr>
          <w:rFonts w:ascii="Times New Roman" w:eastAsia="Calibri" w:hAnsi="Times New Roman" w:cs="Times New Roman"/>
          <w:bCs/>
          <w:iCs/>
          <w:color w:val="000000"/>
          <w:sz w:val="24"/>
          <w:szCs w:val="24"/>
          <w:lang w:eastAsia="lt-LT"/>
        </w:rPr>
        <w:t>75,79</w:t>
      </w:r>
      <w:r w:rsidR="00BD4303">
        <w:rPr>
          <w:rFonts w:ascii="Times New Roman" w:eastAsia="Calibri" w:hAnsi="Times New Roman" w:cs="Times New Roman"/>
          <w:bCs/>
          <w:iCs/>
          <w:color w:val="000000"/>
          <w:sz w:val="24"/>
          <w:szCs w:val="24"/>
          <w:lang w:eastAsia="lt-LT"/>
        </w:rPr>
        <w:t> </w:t>
      </w:r>
      <w:r w:rsidR="00CB3FB6" w:rsidRPr="00157C0B">
        <w:rPr>
          <w:rFonts w:ascii="Times New Roman" w:eastAsia="Calibri" w:hAnsi="Times New Roman" w:cs="Times New Roman"/>
          <w:bCs/>
          <w:iCs/>
          <w:color w:val="000000"/>
          <w:sz w:val="24"/>
          <w:szCs w:val="24"/>
          <w:lang w:eastAsia="lt-LT"/>
        </w:rPr>
        <w:t xml:space="preserve">proc. </w:t>
      </w:r>
      <w:r w:rsidR="008C0366">
        <w:rPr>
          <w:rFonts w:ascii="Times New Roman" w:eastAsia="Calibri" w:hAnsi="Times New Roman" w:cs="Times New Roman"/>
          <w:bCs/>
          <w:iCs/>
          <w:color w:val="000000"/>
          <w:sz w:val="24"/>
          <w:szCs w:val="24"/>
          <w:lang w:eastAsia="lt-LT"/>
        </w:rPr>
        <w:t>daugiau</w:t>
      </w:r>
      <w:r w:rsidR="008C0366" w:rsidRPr="00157C0B">
        <w:rPr>
          <w:rFonts w:ascii="Times New Roman" w:eastAsia="Calibri" w:hAnsi="Times New Roman" w:cs="Times New Roman"/>
          <w:bCs/>
          <w:iCs/>
          <w:color w:val="000000"/>
          <w:sz w:val="24"/>
          <w:szCs w:val="24"/>
          <w:lang w:eastAsia="lt-LT"/>
        </w:rPr>
        <w:t xml:space="preserve"> </w:t>
      </w:r>
      <w:r w:rsidR="00CB3FB6" w:rsidRPr="00157C0B">
        <w:rPr>
          <w:rFonts w:ascii="Times New Roman" w:eastAsia="Calibri" w:hAnsi="Times New Roman" w:cs="Times New Roman"/>
          <w:bCs/>
          <w:iCs/>
          <w:color w:val="000000"/>
          <w:sz w:val="24"/>
          <w:szCs w:val="24"/>
          <w:lang w:eastAsia="lt-LT"/>
        </w:rPr>
        <w:t>nei 202</w:t>
      </w:r>
      <w:r w:rsidR="008C0366">
        <w:rPr>
          <w:rFonts w:ascii="Times New Roman" w:eastAsia="Calibri" w:hAnsi="Times New Roman" w:cs="Times New Roman"/>
          <w:bCs/>
          <w:iCs/>
          <w:color w:val="000000"/>
          <w:sz w:val="24"/>
          <w:szCs w:val="24"/>
          <w:lang w:eastAsia="lt-LT"/>
        </w:rPr>
        <w:t>3</w:t>
      </w:r>
      <w:r w:rsidR="00BD4303">
        <w:rPr>
          <w:rFonts w:ascii="Times New Roman" w:eastAsia="Calibri" w:hAnsi="Times New Roman" w:cs="Times New Roman"/>
          <w:bCs/>
          <w:iCs/>
          <w:color w:val="000000"/>
          <w:sz w:val="24"/>
          <w:szCs w:val="24"/>
          <w:lang w:eastAsia="lt-LT"/>
        </w:rPr>
        <w:t> </w:t>
      </w:r>
      <w:r w:rsidR="00CB3FB6" w:rsidRPr="00157C0B">
        <w:rPr>
          <w:rFonts w:ascii="Times New Roman" w:eastAsia="Calibri" w:hAnsi="Times New Roman" w:cs="Times New Roman"/>
          <w:bCs/>
          <w:iCs/>
          <w:color w:val="000000"/>
          <w:sz w:val="24"/>
          <w:szCs w:val="24"/>
          <w:lang w:eastAsia="lt-LT"/>
        </w:rPr>
        <w:t>m. (</w:t>
      </w:r>
      <w:r w:rsidR="00AF523D" w:rsidRPr="00157C0B">
        <w:rPr>
          <w:rFonts w:ascii="Times New Roman" w:eastAsia="Calibri" w:hAnsi="Times New Roman" w:cs="Times New Roman"/>
          <w:bCs/>
          <w:iCs/>
          <w:color w:val="000000"/>
          <w:sz w:val="24"/>
          <w:szCs w:val="24"/>
          <w:lang w:eastAsia="lt-LT"/>
        </w:rPr>
        <w:t>202</w:t>
      </w:r>
      <w:r w:rsidR="008C0366">
        <w:rPr>
          <w:rFonts w:ascii="Times New Roman" w:eastAsia="Calibri" w:hAnsi="Times New Roman" w:cs="Times New Roman"/>
          <w:bCs/>
          <w:iCs/>
          <w:color w:val="000000"/>
          <w:sz w:val="24"/>
          <w:szCs w:val="24"/>
          <w:lang w:eastAsia="lt-LT"/>
        </w:rPr>
        <w:t>3</w:t>
      </w:r>
      <w:r w:rsidR="00BD4303">
        <w:rPr>
          <w:rFonts w:ascii="Times New Roman" w:eastAsia="Calibri" w:hAnsi="Times New Roman" w:cs="Times New Roman"/>
          <w:bCs/>
          <w:iCs/>
          <w:color w:val="000000"/>
          <w:sz w:val="24"/>
          <w:szCs w:val="24"/>
          <w:lang w:eastAsia="lt-LT"/>
        </w:rPr>
        <w:t> </w:t>
      </w:r>
      <w:r w:rsidR="00AF523D" w:rsidRPr="00157C0B">
        <w:rPr>
          <w:rFonts w:ascii="Times New Roman" w:eastAsia="Calibri" w:hAnsi="Times New Roman" w:cs="Times New Roman"/>
          <w:bCs/>
          <w:iCs/>
          <w:color w:val="000000"/>
          <w:sz w:val="24"/>
          <w:szCs w:val="24"/>
          <w:lang w:eastAsia="lt-LT"/>
        </w:rPr>
        <w:t xml:space="preserve">m. klausimyno nuoroda buvo </w:t>
      </w:r>
      <w:r w:rsidR="00CB3FB6" w:rsidRPr="00157C0B">
        <w:rPr>
          <w:rFonts w:ascii="Times New Roman" w:eastAsia="Calibri" w:hAnsi="Times New Roman" w:cs="Times New Roman"/>
          <w:bCs/>
          <w:iCs/>
          <w:color w:val="000000"/>
          <w:sz w:val="24"/>
          <w:szCs w:val="24"/>
          <w:lang w:eastAsia="lt-LT"/>
        </w:rPr>
        <w:t xml:space="preserve">pateikta </w:t>
      </w:r>
      <w:r w:rsidR="008C0366">
        <w:rPr>
          <w:rFonts w:ascii="Times New Roman" w:eastAsia="Calibri" w:hAnsi="Times New Roman" w:cs="Times New Roman"/>
          <w:bCs/>
          <w:iCs/>
          <w:color w:val="000000"/>
          <w:sz w:val="24"/>
          <w:szCs w:val="24"/>
          <w:lang w:eastAsia="lt-LT"/>
        </w:rPr>
        <w:t>252</w:t>
      </w:r>
      <w:r w:rsidR="008C0366" w:rsidRPr="00157C0B">
        <w:rPr>
          <w:rFonts w:ascii="Times New Roman" w:eastAsia="Calibri" w:hAnsi="Times New Roman" w:cs="Times New Roman"/>
          <w:bCs/>
          <w:iCs/>
          <w:color w:val="000000"/>
          <w:sz w:val="24"/>
          <w:szCs w:val="24"/>
          <w:lang w:eastAsia="lt-LT"/>
        </w:rPr>
        <w:t xml:space="preserve"> </w:t>
      </w:r>
      <w:r w:rsidR="00CB3FB6" w:rsidRPr="00157C0B">
        <w:rPr>
          <w:rFonts w:ascii="Times New Roman" w:eastAsia="Calibri" w:hAnsi="Times New Roman" w:cs="Times New Roman"/>
          <w:bCs/>
          <w:iCs/>
          <w:color w:val="000000"/>
          <w:sz w:val="24"/>
          <w:szCs w:val="24"/>
          <w:lang w:eastAsia="lt-LT"/>
        </w:rPr>
        <w:t xml:space="preserve">elektroninio pašto adresais). </w:t>
      </w:r>
      <w:r w:rsidR="00AF523D" w:rsidRPr="00157C0B">
        <w:rPr>
          <w:rFonts w:ascii="Times New Roman" w:eastAsia="Calibri" w:hAnsi="Times New Roman" w:cs="Times New Roman"/>
          <w:bCs/>
          <w:iCs/>
          <w:color w:val="000000"/>
          <w:sz w:val="24"/>
          <w:szCs w:val="24"/>
          <w:lang w:eastAsia="lt-LT"/>
        </w:rPr>
        <w:t>Klausimynas buvo</w:t>
      </w:r>
      <w:r w:rsidR="006754E0" w:rsidRPr="00157C0B">
        <w:rPr>
          <w:rFonts w:ascii="Times New Roman" w:eastAsia="Calibri" w:hAnsi="Times New Roman" w:cs="Times New Roman"/>
          <w:bCs/>
          <w:iCs/>
          <w:color w:val="000000"/>
          <w:sz w:val="24"/>
          <w:szCs w:val="24"/>
          <w:lang w:eastAsia="lt-LT"/>
        </w:rPr>
        <w:t xml:space="preserve"> užpildytas </w:t>
      </w:r>
      <w:r w:rsidR="008C0366">
        <w:rPr>
          <w:rFonts w:ascii="Times New Roman" w:eastAsia="Calibri" w:hAnsi="Times New Roman" w:cs="Times New Roman"/>
          <w:bCs/>
          <w:iCs/>
          <w:color w:val="000000"/>
          <w:sz w:val="24"/>
          <w:szCs w:val="24"/>
          <w:lang w:eastAsia="lt-LT"/>
        </w:rPr>
        <w:t>104</w:t>
      </w:r>
      <w:r w:rsidR="008C0366" w:rsidRPr="00157C0B">
        <w:rPr>
          <w:rFonts w:ascii="Times New Roman" w:eastAsia="Calibri" w:hAnsi="Times New Roman" w:cs="Times New Roman"/>
          <w:bCs/>
          <w:iCs/>
          <w:color w:val="000000"/>
          <w:sz w:val="24"/>
          <w:szCs w:val="24"/>
          <w:lang w:eastAsia="lt-LT"/>
        </w:rPr>
        <w:t xml:space="preserve"> </w:t>
      </w:r>
      <w:r w:rsidR="0063681B" w:rsidRPr="00157C0B">
        <w:rPr>
          <w:rFonts w:ascii="Times New Roman" w:eastAsia="Calibri" w:hAnsi="Times New Roman" w:cs="Times New Roman"/>
          <w:bCs/>
          <w:iCs/>
          <w:color w:val="000000"/>
          <w:sz w:val="24"/>
          <w:szCs w:val="24"/>
          <w:lang w:eastAsia="lt-LT"/>
        </w:rPr>
        <w:t xml:space="preserve">kartus </w:t>
      </w:r>
      <w:r w:rsidR="006754E0" w:rsidRPr="00157C0B">
        <w:rPr>
          <w:rFonts w:ascii="Times New Roman" w:eastAsia="Calibri" w:hAnsi="Times New Roman" w:cs="Times New Roman"/>
          <w:bCs/>
          <w:iCs/>
          <w:color w:val="000000"/>
          <w:sz w:val="24"/>
          <w:szCs w:val="24"/>
          <w:lang w:eastAsia="lt-LT"/>
        </w:rPr>
        <w:t>(</w:t>
      </w:r>
      <w:r w:rsidR="00AF523D" w:rsidRPr="00157C0B">
        <w:rPr>
          <w:rFonts w:ascii="Times New Roman" w:eastAsia="Calibri" w:hAnsi="Times New Roman" w:cs="Times New Roman"/>
          <w:bCs/>
          <w:iCs/>
          <w:color w:val="000000"/>
          <w:sz w:val="24"/>
          <w:szCs w:val="24"/>
          <w:lang w:eastAsia="lt-LT"/>
        </w:rPr>
        <w:t xml:space="preserve">jį </w:t>
      </w:r>
      <w:r w:rsidR="006754E0" w:rsidRPr="00157C0B">
        <w:rPr>
          <w:rFonts w:ascii="Times New Roman" w:eastAsia="Calibri" w:hAnsi="Times New Roman" w:cs="Times New Roman"/>
          <w:bCs/>
          <w:iCs/>
          <w:color w:val="000000"/>
          <w:sz w:val="24"/>
          <w:szCs w:val="24"/>
          <w:lang w:eastAsia="lt-LT"/>
        </w:rPr>
        <w:t xml:space="preserve">užpildė </w:t>
      </w:r>
      <w:r w:rsidR="00961232" w:rsidRPr="00157C0B">
        <w:rPr>
          <w:rFonts w:ascii="Times New Roman" w:eastAsia="Calibri" w:hAnsi="Times New Roman" w:cs="Times New Roman"/>
          <w:bCs/>
          <w:iCs/>
          <w:color w:val="000000"/>
          <w:sz w:val="24"/>
          <w:szCs w:val="24"/>
          <w:lang w:eastAsia="lt-LT"/>
        </w:rPr>
        <w:t>2</w:t>
      </w:r>
      <w:r w:rsidR="008C0366">
        <w:rPr>
          <w:rFonts w:ascii="Times New Roman" w:eastAsia="Calibri" w:hAnsi="Times New Roman" w:cs="Times New Roman"/>
          <w:bCs/>
          <w:iCs/>
          <w:color w:val="000000"/>
          <w:sz w:val="24"/>
          <w:szCs w:val="24"/>
          <w:lang w:eastAsia="lt-LT"/>
        </w:rPr>
        <w:t>4</w:t>
      </w:r>
      <w:r w:rsidR="00BD4303">
        <w:rPr>
          <w:rFonts w:ascii="Times New Roman" w:eastAsia="Calibri" w:hAnsi="Times New Roman" w:cs="Times New Roman"/>
          <w:bCs/>
          <w:iCs/>
          <w:color w:val="000000"/>
          <w:sz w:val="24"/>
          <w:szCs w:val="24"/>
          <w:lang w:eastAsia="lt-LT"/>
        </w:rPr>
        <w:t> </w:t>
      </w:r>
      <w:r w:rsidR="006754E0" w:rsidRPr="00157C0B">
        <w:rPr>
          <w:rFonts w:ascii="Times New Roman" w:eastAsia="Calibri" w:hAnsi="Times New Roman" w:cs="Times New Roman"/>
          <w:bCs/>
          <w:iCs/>
          <w:color w:val="000000"/>
          <w:sz w:val="24"/>
          <w:szCs w:val="24"/>
          <w:lang w:eastAsia="lt-LT"/>
        </w:rPr>
        <w:t>proc. respondentų</w:t>
      </w:r>
      <w:r w:rsidR="00A32A4B" w:rsidRPr="00157C0B">
        <w:rPr>
          <w:rFonts w:ascii="Times New Roman" w:eastAsia="Calibri" w:hAnsi="Times New Roman" w:cs="Times New Roman"/>
          <w:bCs/>
          <w:iCs/>
          <w:color w:val="000000"/>
          <w:sz w:val="24"/>
          <w:szCs w:val="24"/>
          <w:lang w:eastAsia="lt-LT"/>
        </w:rPr>
        <w:t>, kuriems buvo pateikta klausimyno nuoroda)</w:t>
      </w:r>
      <w:r w:rsidR="006754E0" w:rsidRPr="00157C0B">
        <w:rPr>
          <w:rFonts w:ascii="Times New Roman" w:eastAsia="Calibri" w:hAnsi="Times New Roman" w:cs="Times New Roman"/>
          <w:bCs/>
          <w:iCs/>
          <w:color w:val="000000"/>
          <w:sz w:val="24"/>
          <w:szCs w:val="24"/>
          <w:lang w:eastAsia="lt-LT"/>
        </w:rPr>
        <w:t>.</w:t>
      </w:r>
    </w:p>
    <w:p w14:paraId="751E1515" w14:textId="24264831" w:rsidR="00E91EB2" w:rsidRPr="00DB2349" w:rsidRDefault="00A047B5" w:rsidP="00E43383">
      <w:pPr>
        <w:autoSpaceDE w:val="0"/>
        <w:autoSpaceDN w:val="0"/>
        <w:adjustRightInd w:val="0"/>
        <w:spacing w:after="0" w:line="240" w:lineRule="auto"/>
        <w:ind w:firstLine="851"/>
        <w:jc w:val="both"/>
        <w:rPr>
          <w:rFonts w:ascii="Times New Roman" w:eastAsia="Calibri" w:hAnsi="Times New Roman" w:cs="Times New Roman"/>
          <w:b/>
          <w:color w:val="000000"/>
          <w:sz w:val="24"/>
          <w:szCs w:val="24"/>
          <w:lang w:eastAsia="lt-LT"/>
        </w:rPr>
      </w:pPr>
      <w:r w:rsidRPr="00DB2349">
        <w:rPr>
          <w:rFonts w:ascii="Times New Roman" w:eastAsia="Calibri" w:hAnsi="Times New Roman" w:cs="Times New Roman"/>
          <w:b/>
          <w:color w:val="000000"/>
          <w:sz w:val="24"/>
          <w:szCs w:val="24"/>
          <w:lang w:eastAsia="lt-LT"/>
        </w:rPr>
        <w:t>1</w:t>
      </w:r>
      <w:r w:rsidR="00883187" w:rsidRPr="00DB2349">
        <w:rPr>
          <w:rFonts w:ascii="Times New Roman" w:eastAsia="Calibri" w:hAnsi="Times New Roman" w:cs="Times New Roman"/>
          <w:b/>
          <w:color w:val="000000"/>
          <w:sz w:val="24"/>
          <w:szCs w:val="24"/>
          <w:lang w:eastAsia="lt-LT"/>
        </w:rPr>
        <w:t>6</w:t>
      </w:r>
      <w:r w:rsidRPr="00DB2349">
        <w:rPr>
          <w:rFonts w:ascii="Times New Roman" w:eastAsia="Calibri" w:hAnsi="Times New Roman" w:cs="Times New Roman"/>
          <w:b/>
          <w:color w:val="000000"/>
          <w:sz w:val="24"/>
          <w:szCs w:val="24"/>
          <w:lang w:eastAsia="lt-LT"/>
        </w:rPr>
        <w:t xml:space="preserve">. </w:t>
      </w:r>
      <w:r w:rsidR="00AF523D" w:rsidRPr="00DB2349">
        <w:rPr>
          <w:rFonts w:ascii="Times New Roman" w:eastAsia="Calibri" w:hAnsi="Times New Roman" w:cs="Times New Roman"/>
          <w:b/>
          <w:color w:val="000000"/>
          <w:sz w:val="24"/>
          <w:szCs w:val="24"/>
          <w:lang w:eastAsia="lt-LT"/>
        </w:rPr>
        <w:t>Atsižvelgiant į k</w:t>
      </w:r>
      <w:r w:rsidR="00410122" w:rsidRPr="00DB2349">
        <w:rPr>
          <w:rFonts w:ascii="Times New Roman" w:eastAsia="Calibri" w:hAnsi="Times New Roman" w:cs="Times New Roman"/>
          <w:b/>
          <w:color w:val="000000"/>
          <w:sz w:val="24"/>
          <w:szCs w:val="24"/>
          <w:lang w:eastAsia="lt-LT"/>
        </w:rPr>
        <w:t>lausimyną</w:t>
      </w:r>
      <w:r w:rsidR="00AF523D" w:rsidRPr="00DB2349">
        <w:rPr>
          <w:rFonts w:ascii="Times New Roman" w:eastAsia="Calibri" w:hAnsi="Times New Roman" w:cs="Times New Roman"/>
          <w:b/>
          <w:color w:val="000000"/>
          <w:sz w:val="24"/>
          <w:szCs w:val="24"/>
          <w:lang w:eastAsia="lt-LT"/>
        </w:rPr>
        <w:t>,</w:t>
      </w:r>
      <w:r w:rsidR="00410122" w:rsidRPr="00DB2349">
        <w:rPr>
          <w:rFonts w:ascii="Times New Roman" w:eastAsia="Calibri" w:hAnsi="Times New Roman" w:cs="Times New Roman"/>
          <w:b/>
          <w:color w:val="000000"/>
          <w:sz w:val="24"/>
          <w:szCs w:val="24"/>
          <w:lang w:eastAsia="lt-LT"/>
        </w:rPr>
        <w:t xml:space="preserve"> </w:t>
      </w:r>
      <w:r w:rsidR="00A32A4B" w:rsidRPr="00DB2349">
        <w:rPr>
          <w:rFonts w:ascii="Times New Roman" w:eastAsia="Calibri" w:hAnsi="Times New Roman" w:cs="Times New Roman"/>
          <w:b/>
          <w:color w:val="000000"/>
          <w:sz w:val="24"/>
          <w:szCs w:val="24"/>
          <w:lang w:eastAsia="lt-LT"/>
        </w:rPr>
        <w:t xml:space="preserve">buvo </w:t>
      </w:r>
      <w:r w:rsidR="00410122" w:rsidRPr="00DB2349">
        <w:rPr>
          <w:rFonts w:ascii="Times New Roman" w:eastAsia="Calibri" w:hAnsi="Times New Roman" w:cs="Times New Roman"/>
          <w:b/>
          <w:color w:val="000000"/>
          <w:sz w:val="24"/>
          <w:szCs w:val="24"/>
          <w:lang w:eastAsia="lt-LT"/>
        </w:rPr>
        <w:t>v</w:t>
      </w:r>
      <w:r w:rsidR="000230A4" w:rsidRPr="00DB2349">
        <w:rPr>
          <w:rFonts w:ascii="Times New Roman" w:eastAsia="Calibri" w:hAnsi="Times New Roman" w:cs="Times New Roman"/>
          <w:b/>
          <w:color w:val="000000"/>
          <w:sz w:val="24"/>
          <w:szCs w:val="24"/>
          <w:lang w:eastAsia="lt-LT"/>
        </w:rPr>
        <w:t xml:space="preserve">ertinami </w:t>
      </w:r>
      <w:r w:rsidR="00944C73">
        <w:rPr>
          <w:rFonts w:ascii="Times New Roman" w:eastAsia="Calibri" w:hAnsi="Times New Roman" w:cs="Times New Roman"/>
          <w:b/>
          <w:color w:val="000000"/>
          <w:sz w:val="24"/>
          <w:szCs w:val="24"/>
          <w:lang w:eastAsia="lt-LT"/>
        </w:rPr>
        <w:t>trys</w:t>
      </w:r>
      <w:r w:rsidR="000230A4" w:rsidRPr="00DB2349">
        <w:rPr>
          <w:rFonts w:ascii="Times New Roman" w:eastAsia="Calibri" w:hAnsi="Times New Roman" w:cs="Times New Roman"/>
          <w:b/>
          <w:color w:val="000000"/>
          <w:sz w:val="24"/>
          <w:szCs w:val="24"/>
          <w:lang w:eastAsia="lt-LT"/>
        </w:rPr>
        <w:t xml:space="preserve"> grįžtamojo ryšio </w:t>
      </w:r>
      <w:r w:rsidR="00AF523D" w:rsidRPr="00DB2349">
        <w:rPr>
          <w:rFonts w:ascii="Times New Roman" w:eastAsia="Calibri" w:hAnsi="Times New Roman" w:cs="Times New Roman"/>
          <w:b/>
          <w:color w:val="000000"/>
          <w:sz w:val="24"/>
          <w:szCs w:val="24"/>
          <w:lang w:eastAsia="lt-LT"/>
        </w:rPr>
        <w:t>su ūkio subjektais</w:t>
      </w:r>
      <w:r w:rsidR="000230A4" w:rsidRPr="00DB2349">
        <w:rPr>
          <w:rFonts w:ascii="Times New Roman" w:eastAsia="Calibri" w:hAnsi="Times New Roman" w:cs="Times New Roman"/>
          <w:b/>
          <w:color w:val="000000"/>
          <w:sz w:val="24"/>
          <w:szCs w:val="24"/>
          <w:lang w:eastAsia="lt-LT"/>
        </w:rPr>
        <w:t xml:space="preserve"> rodikliai:</w:t>
      </w:r>
    </w:p>
    <w:p w14:paraId="607E884E" w14:textId="5AEB7B42" w:rsidR="00700C89" w:rsidRPr="00157C0B" w:rsidRDefault="00357A08" w:rsidP="00E43383">
      <w:pPr>
        <w:autoSpaceDE w:val="0"/>
        <w:autoSpaceDN w:val="0"/>
        <w:adjustRightInd w:val="0"/>
        <w:spacing w:after="0" w:line="240" w:lineRule="auto"/>
        <w:ind w:firstLine="851"/>
        <w:jc w:val="both"/>
        <w:rPr>
          <w:rFonts w:ascii="Times New Roman" w:eastAsia="Calibri" w:hAnsi="Times New Roman" w:cs="Times New Roman"/>
          <w:color w:val="000000"/>
          <w:sz w:val="24"/>
          <w:szCs w:val="24"/>
          <w:lang w:eastAsia="lt-LT"/>
        </w:rPr>
      </w:pPr>
      <w:r w:rsidRPr="00157C0B">
        <w:rPr>
          <w:rFonts w:ascii="Times New Roman" w:eastAsia="Calibri" w:hAnsi="Times New Roman" w:cs="Times New Roman"/>
          <w:bCs/>
          <w:color w:val="000000"/>
          <w:sz w:val="24"/>
          <w:szCs w:val="24"/>
          <w:lang w:eastAsia="lt-LT"/>
        </w:rPr>
        <w:t>1</w:t>
      </w:r>
      <w:r w:rsidR="00883187" w:rsidRPr="00157C0B">
        <w:rPr>
          <w:rFonts w:ascii="Times New Roman" w:eastAsia="Calibri" w:hAnsi="Times New Roman" w:cs="Times New Roman"/>
          <w:bCs/>
          <w:color w:val="000000"/>
          <w:sz w:val="24"/>
          <w:szCs w:val="24"/>
          <w:lang w:eastAsia="lt-LT"/>
        </w:rPr>
        <w:t>6</w:t>
      </w:r>
      <w:r w:rsidR="00484361" w:rsidRPr="00157C0B">
        <w:rPr>
          <w:rFonts w:ascii="Times New Roman" w:eastAsia="Calibri" w:hAnsi="Times New Roman" w:cs="Times New Roman"/>
          <w:bCs/>
          <w:color w:val="000000"/>
          <w:sz w:val="24"/>
          <w:szCs w:val="24"/>
          <w:lang w:eastAsia="lt-LT"/>
        </w:rPr>
        <w:t>.1.</w:t>
      </w:r>
      <w:r w:rsidR="00484361" w:rsidRPr="00157C0B">
        <w:rPr>
          <w:rFonts w:ascii="Times New Roman" w:eastAsia="Calibri" w:hAnsi="Times New Roman" w:cs="Times New Roman"/>
          <w:color w:val="000000"/>
          <w:sz w:val="24"/>
          <w:szCs w:val="24"/>
          <w:lang w:eastAsia="lt-LT"/>
        </w:rPr>
        <w:t xml:space="preserve"> </w:t>
      </w:r>
      <w:r w:rsidR="00AF523D" w:rsidRPr="00157C0B">
        <w:rPr>
          <w:rFonts w:ascii="Times New Roman" w:eastAsia="Calibri" w:hAnsi="Times New Roman" w:cs="Times New Roman"/>
          <w:b/>
          <w:color w:val="000000"/>
          <w:sz w:val="24"/>
          <w:szCs w:val="24"/>
          <w:lang w:eastAsia="lt-LT"/>
        </w:rPr>
        <w:t>v</w:t>
      </w:r>
      <w:r w:rsidR="00484361" w:rsidRPr="00157C0B">
        <w:rPr>
          <w:rFonts w:ascii="Times New Roman" w:eastAsia="Calibri" w:hAnsi="Times New Roman" w:cs="Times New Roman"/>
          <w:b/>
          <w:color w:val="000000"/>
          <w:sz w:val="24"/>
          <w:szCs w:val="24"/>
          <w:lang w:eastAsia="lt-LT"/>
        </w:rPr>
        <w:t xml:space="preserve">ertinamojo laikotarpio įstaigų ir įmonių, teigiančių, kad TLK konsultacija buvo naudinga, padėjo suprasti teisės aktus ir jų laikytis, dalis (proc.), palyginti su visomis šiuo laikotarpiu apklaustomis įstaigomis ir įmonėmis </w:t>
      </w:r>
      <w:r w:rsidR="00484361" w:rsidRPr="00157C0B">
        <w:rPr>
          <w:rFonts w:ascii="Times New Roman" w:eastAsia="Calibri" w:hAnsi="Times New Roman" w:cs="Times New Roman"/>
          <w:color w:val="000000"/>
          <w:sz w:val="24"/>
          <w:szCs w:val="24"/>
          <w:lang w:eastAsia="lt-LT"/>
        </w:rPr>
        <w:t>(siekiama perspektyvinio didėjimo).</w:t>
      </w:r>
      <w:r w:rsidR="001E20B5" w:rsidRPr="00157C0B">
        <w:rPr>
          <w:rFonts w:ascii="Times New Roman" w:eastAsia="Calibri" w:hAnsi="Times New Roman" w:cs="Times New Roman"/>
          <w:color w:val="000000"/>
          <w:sz w:val="24"/>
          <w:szCs w:val="24"/>
          <w:lang w:eastAsia="lt-LT"/>
        </w:rPr>
        <w:t xml:space="preserve"> </w:t>
      </w:r>
      <w:bookmarkStart w:id="14" w:name="_Hlk66030284"/>
      <w:r w:rsidR="001E20B5" w:rsidRPr="00157C0B">
        <w:rPr>
          <w:rFonts w:ascii="Times New Roman" w:eastAsia="Calibri" w:hAnsi="Times New Roman" w:cs="Times New Roman"/>
          <w:color w:val="000000"/>
          <w:sz w:val="24"/>
          <w:szCs w:val="24"/>
          <w:lang w:eastAsia="lt-LT"/>
        </w:rPr>
        <w:t xml:space="preserve">Nustatyta, kad </w:t>
      </w:r>
      <w:r w:rsidR="00AF523D" w:rsidRPr="00157C0B">
        <w:rPr>
          <w:rFonts w:ascii="Times New Roman" w:eastAsia="Calibri" w:hAnsi="Times New Roman" w:cs="Times New Roman"/>
          <w:color w:val="000000"/>
          <w:sz w:val="24"/>
          <w:szCs w:val="24"/>
          <w:lang w:eastAsia="lt-LT"/>
        </w:rPr>
        <w:t>20</w:t>
      </w:r>
      <w:r w:rsidR="00BD4303">
        <w:rPr>
          <w:rFonts w:ascii="Times New Roman" w:eastAsia="Calibri" w:hAnsi="Times New Roman" w:cs="Times New Roman"/>
          <w:color w:val="000000"/>
          <w:sz w:val="24"/>
          <w:szCs w:val="24"/>
          <w:lang w:eastAsia="lt-LT"/>
        </w:rPr>
        <w:t>24</w:t>
      </w:r>
      <w:r w:rsidR="00384F7B">
        <w:rPr>
          <w:rFonts w:ascii="Times New Roman" w:eastAsia="Calibri" w:hAnsi="Times New Roman" w:cs="Times New Roman"/>
          <w:color w:val="000000"/>
          <w:sz w:val="24"/>
          <w:szCs w:val="24"/>
          <w:lang w:eastAsia="lt-LT"/>
        </w:rPr>
        <w:t> </w:t>
      </w:r>
      <w:r w:rsidR="00AF523D" w:rsidRPr="00157C0B">
        <w:rPr>
          <w:rFonts w:ascii="Times New Roman" w:eastAsia="Calibri" w:hAnsi="Times New Roman" w:cs="Times New Roman"/>
          <w:color w:val="000000"/>
          <w:sz w:val="24"/>
          <w:szCs w:val="24"/>
          <w:lang w:eastAsia="lt-LT"/>
        </w:rPr>
        <w:t xml:space="preserve">m. buvo </w:t>
      </w:r>
      <w:r w:rsidR="00BD4303">
        <w:rPr>
          <w:rFonts w:ascii="Times New Roman" w:eastAsia="Calibri" w:hAnsi="Times New Roman" w:cs="Times New Roman"/>
          <w:bCs/>
          <w:color w:val="000000"/>
          <w:sz w:val="24"/>
          <w:szCs w:val="24"/>
          <w:lang w:eastAsia="lt-LT"/>
        </w:rPr>
        <w:t>89</w:t>
      </w:r>
      <w:r w:rsidR="00384F7B">
        <w:rPr>
          <w:rFonts w:ascii="Times New Roman" w:eastAsia="Calibri" w:hAnsi="Times New Roman" w:cs="Times New Roman"/>
          <w:bCs/>
          <w:color w:val="000000"/>
          <w:sz w:val="24"/>
          <w:szCs w:val="24"/>
          <w:lang w:eastAsia="lt-LT"/>
        </w:rPr>
        <w:t> </w:t>
      </w:r>
      <w:r w:rsidR="00AF523D" w:rsidRPr="00157C0B">
        <w:rPr>
          <w:rFonts w:ascii="Times New Roman" w:eastAsia="Calibri" w:hAnsi="Times New Roman" w:cs="Times New Roman"/>
          <w:bCs/>
          <w:color w:val="000000"/>
          <w:sz w:val="24"/>
          <w:szCs w:val="24"/>
          <w:lang w:eastAsia="lt-LT"/>
        </w:rPr>
        <w:t>proc</w:t>
      </w:r>
      <w:r w:rsidR="00AF523D" w:rsidRPr="00157C0B">
        <w:rPr>
          <w:rFonts w:ascii="Times New Roman" w:hAnsi="Times New Roman" w:cs="Times New Roman"/>
          <w:sz w:val="24"/>
          <w:szCs w:val="24"/>
        </w:rPr>
        <w:t xml:space="preserve">. </w:t>
      </w:r>
      <w:r w:rsidR="001E20B5" w:rsidRPr="00157C0B">
        <w:rPr>
          <w:rFonts w:ascii="Times New Roman" w:eastAsia="Calibri" w:hAnsi="Times New Roman" w:cs="Times New Roman"/>
          <w:bCs/>
          <w:color w:val="000000"/>
          <w:sz w:val="24"/>
          <w:szCs w:val="24"/>
          <w:lang w:eastAsia="lt-LT"/>
        </w:rPr>
        <w:t>ūkio subjektų,</w:t>
      </w:r>
      <w:bookmarkEnd w:id="14"/>
      <w:r w:rsidR="001E20B5" w:rsidRPr="00157C0B">
        <w:rPr>
          <w:rFonts w:ascii="Times New Roman" w:eastAsia="Calibri" w:hAnsi="Times New Roman" w:cs="Times New Roman"/>
          <w:bCs/>
          <w:color w:val="000000"/>
          <w:sz w:val="24"/>
          <w:szCs w:val="24"/>
          <w:lang w:eastAsia="lt-LT"/>
        </w:rPr>
        <w:t xml:space="preserve"> teigiančių, </w:t>
      </w:r>
      <w:r w:rsidR="00F32455" w:rsidRPr="00157C0B">
        <w:rPr>
          <w:rFonts w:ascii="Times New Roman" w:eastAsia="Calibri" w:hAnsi="Times New Roman" w:cs="Times New Roman"/>
          <w:bCs/>
          <w:color w:val="000000"/>
          <w:sz w:val="24"/>
          <w:szCs w:val="24"/>
          <w:lang w:eastAsia="lt-LT"/>
        </w:rPr>
        <w:t>jog</w:t>
      </w:r>
      <w:r w:rsidR="001E20B5" w:rsidRPr="00157C0B">
        <w:rPr>
          <w:rFonts w:ascii="Times New Roman" w:eastAsia="Calibri" w:hAnsi="Times New Roman" w:cs="Times New Roman"/>
          <w:bCs/>
          <w:color w:val="000000"/>
          <w:sz w:val="24"/>
          <w:szCs w:val="24"/>
          <w:lang w:eastAsia="lt-LT"/>
        </w:rPr>
        <w:t xml:space="preserve"> TLK konsultacija buvo naudinga, padėjo suprasti teisės aktus ir jų laikytis</w:t>
      </w:r>
      <w:r w:rsidR="00F32455" w:rsidRPr="00157C0B">
        <w:rPr>
          <w:rFonts w:ascii="Times New Roman" w:eastAsia="Calibri" w:hAnsi="Times New Roman" w:cs="Times New Roman"/>
          <w:bCs/>
          <w:color w:val="000000"/>
          <w:sz w:val="24"/>
          <w:szCs w:val="24"/>
          <w:lang w:eastAsia="lt-LT"/>
        </w:rPr>
        <w:t>,</w:t>
      </w:r>
      <w:r w:rsidR="001E20B5" w:rsidRPr="00157C0B">
        <w:rPr>
          <w:rFonts w:ascii="Times New Roman" w:eastAsia="Calibri" w:hAnsi="Times New Roman" w:cs="Times New Roman"/>
          <w:bCs/>
          <w:color w:val="000000"/>
          <w:sz w:val="24"/>
          <w:szCs w:val="24"/>
          <w:lang w:eastAsia="lt-LT"/>
        </w:rPr>
        <w:t xml:space="preserve"> </w:t>
      </w:r>
      <w:bookmarkStart w:id="15" w:name="_Hlk133238156"/>
      <w:r w:rsidR="00AF523D" w:rsidRPr="00157C0B">
        <w:rPr>
          <w:rFonts w:ascii="Times New Roman" w:eastAsia="Calibri" w:hAnsi="Times New Roman" w:cs="Times New Roman"/>
          <w:bCs/>
          <w:color w:val="000000"/>
          <w:sz w:val="24"/>
          <w:szCs w:val="24"/>
          <w:lang w:eastAsia="lt-LT"/>
        </w:rPr>
        <w:t xml:space="preserve">palyginti </w:t>
      </w:r>
      <w:r w:rsidR="000A6BB0" w:rsidRPr="00157C0B">
        <w:rPr>
          <w:rFonts w:ascii="Times New Roman" w:eastAsia="Calibri" w:hAnsi="Times New Roman" w:cs="Times New Roman"/>
          <w:bCs/>
          <w:color w:val="000000"/>
          <w:sz w:val="24"/>
          <w:szCs w:val="24"/>
          <w:lang w:eastAsia="lt-LT"/>
        </w:rPr>
        <w:t>visais klausimyną užpildžiusiais ūkio subjektais</w:t>
      </w:r>
      <w:bookmarkEnd w:id="15"/>
      <w:r w:rsidR="00D73F6D" w:rsidRPr="00157C0B">
        <w:rPr>
          <w:rFonts w:ascii="Times New Roman" w:hAnsi="Times New Roman" w:cs="Times New Roman"/>
          <w:sz w:val="24"/>
          <w:szCs w:val="24"/>
        </w:rPr>
        <w:t>, tuo tarpu 20</w:t>
      </w:r>
      <w:r w:rsidR="00BD4303">
        <w:rPr>
          <w:rFonts w:ascii="Times New Roman" w:hAnsi="Times New Roman" w:cs="Times New Roman"/>
          <w:sz w:val="24"/>
          <w:szCs w:val="24"/>
        </w:rPr>
        <w:t>23</w:t>
      </w:r>
      <w:r w:rsidR="00384F7B">
        <w:rPr>
          <w:rFonts w:ascii="Times New Roman" w:hAnsi="Times New Roman" w:cs="Times New Roman"/>
          <w:sz w:val="24"/>
          <w:szCs w:val="24"/>
        </w:rPr>
        <w:t> </w:t>
      </w:r>
      <w:r w:rsidR="00D73F6D" w:rsidRPr="00157C0B">
        <w:rPr>
          <w:rFonts w:ascii="Times New Roman" w:hAnsi="Times New Roman" w:cs="Times New Roman"/>
          <w:sz w:val="24"/>
          <w:szCs w:val="24"/>
        </w:rPr>
        <w:t>m. ši</w:t>
      </w:r>
      <w:r w:rsidR="006322CF" w:rsidRPr="00157C0B">
        <w:rPr>
          <w:rFonts w:ascii="Times New Roman" w:hAnsi="Times New Roman" w:cs="Times New Roman"/>
          <w:sz w:val="24"/>
          <w:szCs w:val="24"/>
        </w:rPr>
        <w:t>o</w:t>
      </w:r>
      <w:r w:rsidR="00D73F6D" w:rsidRPr="00157C0B">
        <w:rPr>
          <w:rFonts w:ascii="Times New Roman" w:hAnsi="Times New Roman" w:cs="Times New Roman"/>
          <w:sz w:val="24"/>
          <w:szCs w:val="24"/>
        </w:rPr>
        <w:t xml:space="preserve"> rodikli</w:t>
      </w:r>
      <w:r w:rsidR="006322CF" w:rsidRPr="00157C0B">
        <w:rPr>
          <w:rFonts w:ascii="Times New Roman" w:hAnsi="Times New Roman" w:cs="Times New Roman"/>
          <w:sz w:val="24"/>
          <w:szCs w:val="24"/>
        </w:rPr>
        <w:t>o reikšmė buvo</w:t>
      </w:r>
      <w:r w:rsidR="00D73F6D" w:rsidRPr="00157C0B">
        <w:rPr>
          <w:rFonts w:ascii="Times New Roman" w:hAnsi="Times New Roman" w:cs="Times New Roman"/>
          <w:sz w:val="24"/>
          <w:szCs w:val="24"/>
        </w:rPr>
        <w:t xml:space="preserve"> </w:t>
      </w:r>
      <w:r w:rsidR="00BD4303">
        <w:rPr>
          <w:rFonts w:ascii="Times New Roman" w:hAnsi="Times New Roman" w:cs="Times New Roman"/>
          <w:sz w:val="24"/>
          <w:szCs w:val="24"/>
        </w:rPr>
        <w:t>86</w:t>
      </w:r>
      <w:r w:rsidR="00BD4303" w:rsidRPr="00157C0B">
        <w:rPr>
          <w:rFonts w:ascii="Times New Roman" w:hAnsi="Times New Roman" w:cs="Times New Roman"/>
          <w:sz w:val="24"/>
          <w:szCs w:val="24"/>
        </w:rPr>
        <w:t xml:space="preserve"> </w:t>
      </w:r>
      <w:r w:rsidR="00D73F6D" w:rsidRPr="00157C0B">
        <w:rPr>
          <w:rFonts w:ascii="Times New Roman" w:hAnsi="Times New Roman" w:cs="Times New Roman"/>
          <w:sz w:val="24"/>
          <w:szCs w:val="24"/>
        </w:rPr>
        <w:t>proc</w:t>
      </w:r>
      <w:r w:rsidR="00E543EE" w:rsidRPr="00157C0B">
        <w:rPr>
          <w:rFonts w:ascii="Times New Roman" w:hAnsi="Times New Roman" w:cs="Times New Roman"/>
          <w:sz w:val="24"/>
          <w:szCs w:val="24"/>
        </w:rPr>
        <w:t>entai</w:t>
      </w:r>
      <w:r w:rsidR="00D73F6D" w:rsidRPr="00157C0B">
        <w:rPr>
          <w:rFonts w:ascii="Times New Roman" w:hAnsi="Times New Roman" w:cs="Times New Roman"/>
          <w:sz w:val="24"/>
          <w:szCs w:val="24"/>
        </w:rPr>
        <w:t xml:space="preserve">. </w:t>
      </w:r>
    </w:p>
    <w:p w14:paraId="674F51F9" w14:textId="3CD88ECF" w:rsidR="003560CC" w:rsidRDefault="00357A08" w:rsidP="00E43383">
      <w:pPr>
        <w:spacing w:after="0" w:line="240" w:lineRule="auto"/>
        <w:ind w:firstLine="993"/>
        <w:jc w:val="both"/>
        <w:rPr>
          <w:rFonts w:ascii="Times New Roman" w:hAnsi="Times New Roman" w:cs="Times New Roman"/>
          <w:sz w:val="24"/>
          <w:szCs w:val="24"/>
        </w:rPr>
      </w:pPr>
      <w:r w:rsidRPr="00157C0B">
        <w:rPr>
          <w:rFonts w:ascii="Times New Roman" w:eastAsia="Calibri" w:hAnsi="Times New Roman" w:cs="Times New Roman"/>
          <w:bCs/>
          <w:sz w:val="24"/>
          <w:szCs w:val="24"/>
        </w:rPr>
        <w:t>1</w:t>
      </w:r>
      <w:r w:rsidR="00883187" w:rsidRPr="00157C0B">
        <w:rPr>
          <w:rFonts w:ascii="Times New Roman" w:eastAsia="Calibri" w:hAnsi="Times New Roman" w:cs="Times New Roman"/>
          <w:bCs/>
          <w:sz w:val="24"/>
          <w:szCs w:val="24"/>
        </w:rPr>
        <w:t>6</w:t>
      </w:r>
      <w:r w:rsidR="00484361" w:rsidRPr="00157C0B">
        <w:rPr>
          <w:rFonts w:ascii="Times New Roman" w:eastAsia="Calibri" w:hAnsi="Times New Roman" w:cs="Times New Roman"/>
          <w:bCs/>
          <w:sz w:val="24"/>
          <w:szCs w:val="24"/>
        </w:rPr>
        <w:t>.2.</w:t>
      </w:r>
      <w:r w:rsidR="00484361" w:rsidRPr="00157C0B">
        <w:rPr>
          <w:rFonts w:ascii="Times New Roman" w:eastAsia="Calibri" w:hAnsi="Times New Roman" w:cs="Times New Roman"/>
          <w:sz w:val="24"/>
          <w:szCs w:val="24"/>
        </w:rPr>
        <w:t xml:space="preserve"> </w:t>
      </w:r>
      <w:r w:rsidR="006322CF" w:rsidRPr="00157C0B">
        <w:rPr>
          <w:rFonts w:ascii="Times New Roman" w:eastAsia="Calibri" w:hAnsi="Times New Roman" w:cs="Times New Roman"/>
          <w:b/>
          <w:sz w:val="24"/>
          <w:szCs w:val="24"/>
        </w:rPr>
        <w:t>v</w:t>
      </w:r>
      <w:r w:rsidR="00484361" w:rsidRPr="00157C0B">
        <w:rPr>
          <w:rFonts w:ascii="Times New Roman" w:eastAsia="Calibri" w:hAnsi="Times New Roman" w:cs="Times New Roman"/>
          <w:b/>
          <w:sz w:val="24"/>
          <w:szCs w:val="24"/>
        </w:rPr>
        <w:t xml:space="preserve">ertinamojo laikotarpio įstaigų ir įmonių, </w:t>
      </w:r>
      <w:bookmarkStart w:id="16" w:name="_Hlk66030299"/>
      <w:r w:rsidR="00484361" w:rsidRPr="00157C0B">
        <w:rPr>
          <w:rFonts w:ascii="Times New Roman" w:eastAsia="Calibri" w:hAnsi="Times New Roman" w:cs="Times New Roman"/>
          <w:b/>
          <w:sz w:val="24"/>
          <w:szCs w:val="24"/>
        </w:rPr>
        <w:t>teigiančių, kad kontroliniai klausimynai padėjo suvokti teisės aktų reikalavimus ir geriau juos įgyvendinti,</w:t>
      </w:r>
      <w:bookmarkEnd w:id="16"/>
      <w:r w:rsidR="00484361" w:rsidRPr="00157C0B">
        <w:rPr>
          <w:rFonts w:ascii="Times New Roman" w:eastAsia="Calibri" w:hAnsi="Times New Roman" w:cs="Times New Roman"/>
          <w:b/>
          <w:sz w:val="24"/>
          <w:szCs w:val="24"/>
        </w:rPr>
        <w:t xml:space="preserve"> dalis (proc.), palyginti su</w:t>
      </w:r>
      <w:r w:rsidR="00700C89" w:rsidRPr="00157C0B">
        <w:rPr>
          <w:rFonts w:ascii="Times New Roman" w:hAnsi="Times New Roman" w:cs="Times New Roman"/>
          <w:b/>
          <w:sz w:val="24"/>
          <w:szCs w:val="24"/>
        </w:rPr>
        <w:t xml:space="preserve"> visomis šiuo laikotarpiu apklaustomis įstaigomis ir įmonėmis</w:t>
      </w:r>
      <w:r w:rsidR="00700C89" w:rsidRPr="00157C0B">
        <w:rPr>
          <w:rFonts w:ascii="Times New Roman" w:hAnsi="Times New Roman" w:cs="Times New Roman"/>
          <w:sz w:val="24"/>
          <w:szCs w:val="24"/>
        </w:rPr>
        <w:t xml:space="preserve"> (siekiama perspektyvinio didėjimo).</w:t>
      </w:r>
      <w:r w:rsidR="001E20B5" w:rsidRPr="00157C0B">
        <w:rPr>
          <w:rFonts w:ascii="Times New Roman" w:eastAsia="Calibri" w:hAnsi="Times New Roman" w:cs="Times New Roman"/>
          <w:color w:val="000000"/>
          <w:sz w:val="24"/>
          <w:szCs w:val="24"/>
          <w:lang w:eastAsia="lt-LT"/>
        </w:rPr>
        <w:t xml:space="preserve"> Nustatyta, kad </w:t>
      </w:r>
      <w:r w:rsidR="006322CF" w:rsidRPr="00157C0B">
        <w:rPr>
          <w:rFonts w:ascii="Times New Roman" w:eastAsia="Calibri" w:hAnsi="Times New Roman" w:cs="Times New Roman"/>
          <w:color w:val="000000"/>
          <w:sz w:val="24"/>
          <w:szCs w:val="24"/>
          <w:lang w:eastAsia="lt-LT"/>
        </w:rPr>
        <w:t>202</w:t>
      </w:r>
      <w:r w:rsidR="00BD4303">
        <w:rPr>
          <w:rFonts w:ascii="Times New Roman" w:eastAsia="Calibri" w:hAnsi="Times New Roman" w:cs="Times New Roman"/>
          <w:color w:val="000000"/>
          <w:sz w:val="24"/>
          <w:szCs w:val="24"/>
          <w:lang w:eastAsia="lt-LT"/>
        </w:rPr>
        <w:t>4</w:t>
      </w:r>
      <w:r w:rsidR="00384F7B">
        <w:rPr>
          <w:rFonts w:ascii="Times New Roman" w:eastAsia="Calibri" w:hAnsi="Times New Roman" w:cs="Times New Roman"/>
          <w:color w:val="000000"/>
          <w:sz w:val="24"/>
          <w:szCs w:val="24"/>
          <w:lang w:eastAsia="lt-LT"/>
        </w:rPr>
        <w:t> </w:t>
      </w:r>
      <w:r w:rsidR="006322CF" w:rsidRPr="00157C0B">
        <w:rPr>
          <w:rFonts w:ascii="Times New Roman" w:eastAsia="Calibri" w:hAnsi="Times New Roman" w:cs="Times New Roman"/>
          <w:color w:val="000000"/>
          <w:sz w:val="24"/>
          <w:szCs w:val="24"/>
          <w:lang w:eastAsia="lt-LT"/>
        </w:rPr>
        <w:t>m. buvo</w:t>
      </w:r>
      <w:r w:rsidR="006322CF" w:rsidRPr="00157C0B">
        <w:rPr>
          <w:rFonts w:ascii="Times New Roman" w:eastAsia="Calibri" w:hAnsi="Times New Roman" w:cs="Times New Roman"/>
          <w:bCs/>
          <w:color w:val="000000"/>
          <w:sz w:val="24"/>
          <w:szCs w:val="24"/>
          <w:lang w:eastAsia="lt-LT"/>
        </w:rPr>
        <w:t xml:space="preserve"> </w:t>
      </w:r>
      <w:r w:rsidR="00BD4303">
        <w:rPr>
          <w:rFonts w:ascii="Times New Roman" w:eastAsia="Calibri" w:hAnsi="Times New Roman" w:cs="Times New Roman"/>
          <w:bCs/>
          <w:sz w:val="24"/>
          <w:szCs w:val="24"/>
          <w:lang w:eastAsia="lt-LT"/>
        </w:rPr>
        <w:t>67</w:t>
      </w:r>
      <w:r w:rsidR="00EB4074">
        <w:rPr>
          <w:rFonts w:ascii="Times New Roman" w:eastAsia="Calibri" w:hAnsi="Times New Roman" w:cs="Times New Roman"/>
          <w:bCs/>
          <w:sz w:val="24"/>
          <w:szCs w:val="24"/>
          <w:lang w:eastAsia="lt-LT"/>
        </w:rPr>
        <w:t> </w:t>
      </w:r>
      <w:r w:rsidR="006322CF" w:rsidRPr="00157C0B">
        <w:rPr>
          <w:rFonts w:ascii="Times New Roman" w:eastAsia="Calibri" w:hAnsi="Times New Roman" w:cs="Times New Roman"/>
          <w:bCs/>
          <w:sz w:val="24"/>
          <w:szCs w:val="24"/>
          <w:lang w:eastAsia="lt-LT"/>
        </w:rPr>
        <w:t xml:space="preserve">proc. </w:t>
      </w:r>
      <w:r w:rsidR="001E20B5" w:rsidRPr="00157C0B">
        <w:rPr>
          <w:rFonts w:ascii="Times New Roman" w:eastAsia="Calibri" w:hAnsi="Times New Roman" w:cs="Times New Roman"/>
          <w:bCs/>
          <w:color w:val="000000"/>
          <w:sz w:val="24"/>
          <w:szCs w:val="24"/>
          <w:lang w:eastAsia="lt-LT"/>
        </w:rPr>
        <w:t>ūkio subjektų</w:t>
      </w:r>
      <w:r w:rsidR="001E20B5" w:rsidRPr="00157C0B">
        <w:rPr>
          <w:rFonts w:ascii="Times New Roman" w:eastAsia="Calibri" w:hAnsi="Times New Roman" w:cs="Times New Roman"/>
          <w:bCs/>
          <w:sz w:val="24"/>
          <w:szCs w:val="24"/>
          <w:lang w:eastAsia="lt-LT"/>
        </w:rPr>
        <w:t>,</w:t>
      </w:r>
      <w:r w:rsidR="001E20B5" w:rsidRPr="00157C0B">
        <w:rPr>
          <w:rFonts w:ascii="Times New Roman" w:eastAsia="Calibri" w:hAnsi="Times New Roman" w:cs="Times New Roman"/>
          <w:bCs/>
          <w:sz w:val="24"/>
          <w:szCs w:val="24"/>
        </w:rPr>
        <w:t xml:space="preserve"> </w:t>
      </w:r>
      <w:r w:rsidR="001E20B5" w:rsidRPr="00157C0B">
        <w:rPr>
          <w:rFonts w:ascii="Times New Roman" w:eastAsia="Calibri" w:hAnsi="Times New Roman" w:cs="Times New Roman"/>
          <w:bCs/>
          <w:sz w:val="24"/>
          <w:szCs w:val="24"/>
          <w:lang w:eastAsia="lt-LT"/>
        </w:rPr>
        <w:t xml:space="preserve">teigiančių, </w:t>
      </w:r>
      <w:r w:rsidR="00F32455" w:rsidRPr="00157C0B">
        <w:rPr>
          <w:rFonts w:ascii="Times New Roman" w:eastAsia="Calibri" w:hAnsi="Times New Roman" w:cs="Times New Roman"/>
          <w:bCs/>
          <w:sz w:val="24"/>
          <w:szCs w:val="24"/>
          <w:lang w:eastAsia="lt-LT"/>
        </w:rPr>
        <w:t>jog</w:t>
      </w:r>
      <w:r w:rsidR="001E20B5" w:rsidRPr="00157C0B">
        <w:rPr>
          <w:rFonts w:ascii="Times New Roman" w:eastAsia="Calibri" w:hAnsi="Times New Roman" w:cs="Times New Roman"/>
          <w:bCs/>
          <w:sz w:val="24"/>
          <w:szCs w:val="24"/>
          <w:lang w:eastAsia="lt-LT"/>
        </w:rPr>
        <w:t xml:space="preserve"> kontroliniai klausimynai padėjo suvokti teisės aktų reikalavimus ir geriau juos įgyvendinti</w:t>
      </w:r>
      <w:r w:rsidR="00F32455" w:rsidRPr="00157C0B">
        <w:rPr>
          <w:rFonts w:ascii="Times New Roman" w:eastAsia="Calibri" w:hAnsi="Times New Roman" w:cs="Times New Roman"/>
          <w:bCs/>
          <w:sz w:val="24"/>
          <w:szCs w:val="24"/>
          <w:lang w:eastAsia="lt-LT"/>
        </w:rPr>
        <w:t>,</w:t>
      </w:r>
      <w:r w:rsidR="001E20B5" w:rsidRPr="00157C0B">
        <w:rPr>
          <w:rFonts w:ascii="Times New Roman" w:eastAsia="Calibri" w:hAnsi="Times New Roman" w:cs="Times New Roman"/>
          <w:bCs/>
          <w:sz w:val="24"/>
          <w:szCs w:val="24"/>
          <w:lang w:eastAsia="lt-LT"/>
        </w:rPr>
        <w:t xml:space="preserve"> </w:t>
      </w:r>
      <w:r w:rsidR="000A6BB0" w:rsidRPr="00157C0B">
        <w:rPr>
          <w:rFonts w:ascii="Times New Roman" w:eastAsia="Calibri" w:hAnsi="Times New Roman" w:cs="Times New Roman"/>
          <w:bCs/>
          <w:color w:val="000000"/>
          <w:sz w:val="24"/>
          <w:szCs w:val="24"/>
          <w:lang w:eastAsia="lt-LT"/>
        </w:rPr>
        <w:t>palyginti visais klausimyną užpildžiusiais ūkio subjektais</w:t>
      </w:r>
      <w:r w:rsidR="000230A4" w:rsidRPr="00157C0B">
        <w:rPr>
          <w:rFonts w:ascii="Times New Roman" w:eastAsia="Calibri" w:hAnsi="Times New Roman" w:cs="Times New Roman"/>
          <w:bCs/>
          <w:sz w:val="24"/>
          <w:szCs w:val="24"/>
          <w:lang w:eastAsia="lt-LT"/>
        </w:rPr>
        <w:t>.</w:t>
      </w:r>
      <w:r w:rsidR="008760A2" w:rsidRPr="00157C0B">
        <w:rPr>
          <w:rFonts w:ascii="Times New Roman" w:hAnsi="Times New Roman" w:cs="Times New Roman"/>
          <w:sz w:val="24"/>
          <w:szCs w:val="24"/>
        </w:rPr>
        <w:t xml:space="preserve"> 202</w:t>
      </w:r>
      <w:r w:rsidR="00BD4303">
        <w:rPr>
          <w:rFonts w:ascii="Times New Roman" w:hAnsi="Times New Roman" w:cs="Times New Roman"/>
          <w:sz w:val="24"/>
          <w:szCs w:val="24"/>
        </w:rPr>
        <w:t>3</w:t>
      </w:r>
      <w:r w:rsidR="00384F7B">
        <w:rPr>
          <w:rFonts w:ascii="Times New Roman" w:hAnsi="Times New Roman" w:cs="Times New Roman"/>
          <w:sz w:val="24"/>
          <w:szCs w:val="24"/>
        </w:rPr>
        <w:t> </w:t>
      </w:r>
      <w:r w:rsidR="008760A2" w:rsidRPr="00157C0B">
        <w:rPr>
          <w:rFonts w:ascii="Times New Roman" w:hAnsi="Times New Roman" w:cs="Times New Roman"/>
          <w:sz w:val="24"/>
          <w:szCs w:val="24"/>
        </w:rPr>
        <w:t>m. šis rodikli</w:t>
      </w:r>
      <w:r w:rsidR="006322CF" w:rsidRPr="00157C0B">
        <w:rPr>
          <w:rFonts w:ascii="Times New Roman" w:hAnsi="Times New Roman" w:cs="Times New Roman"/>
          <w:sz w:val="24"/>
          <w:szCs w:val="24"/>
        </w:rPr>
        <w:t>o reikšmė buvo</w:t>
      </w:r>
      <w:r w:rsidR="008760A2" w:rsidRPr="00157C0B">
        <w:rPr>
          <w:rFonts w:ascii="Times New Roman" w:hAnsi="Times New Roman" w:cs="Times New Roman"/>
          <w:sz w:val="24"/>
          <w:szCs w:val="24"/>
        </w:rPr>
        <w:t xml:space="preserve"> </w:t>
      </w:r>
      <w:r w:rsidR="00BD4303">
        <w:rPr>
          <w:rFonts w:ascii="Times New Roman" w:hAnsi="Times New Roman" w:cs="Times New Roman"/>
          <w:sz w:val="24"/>
          <w:szCs w:val="24"/>
        </w:rPr>
        <w:t>75</w:t>
      </w:r>
      <w:r w:rsidR="00BD4303" w:rsidRPr="00157C0B">
        <w:rPr>
          <w:rFonts w:ascii="Times New Roman" w:hAnsi="Times New Roman" w:cs="Times New Roman"/>
          <w:sz w:val="24"/>
          <w:szCs w:val="24"/>
        </w:rPr>
        <w:t xml:space="preserve"> </w:t>
      </w:r>
      <w:r w:rsidR="008760A2" w:rsidRPr="00157C0B">
        <w:rPr>
          <w:rFonts w:ascii="Times New Roman" w:hAnsi="Times New Roman" w:cs="Times New Roman"/>
          <w:sz w:val="24"/>
          <w:szCs w:val="24"/>
        </w:rPr>
        <w:t>proc</w:t>
      </w:r>
      <w:r w:rsidR="00E543EE" w:rsidRPr="00157C0B">
        <w:rPr>
          <w:rFonts w:ascii="Times New Roman" w:hAnsi="Times New Roman" w:cs="Times New Roman"/>
          <w:sz w:val="24"/>
          <w:szCs w:val="24"/>
        </w:rPr>
        <w:t>entai</w:t>
      </w:r>
      <w:r w:rsidR="008760A2" w:rsidRPr="00157C0B">
        <w:rPr>
          <w:rFonts w:ascii="Times New Roman" w:hAnsi="Times New Roman" w:cs="Times New Roman"/>
          <w:sz w:val="24"/>
          <w:szCs w:val="24"/>
        </w:rPr>
        <w:t xml:space="preserve">. </w:t>
      </w:r>
    </w:p>
    <w:p w14:paraId="21D8CA5D" w14:textId="0A80C1E4" w:rsidR="003560CC" w:rsidRDefault="003560CC" w:rsidP="003560CC">
      <w:pPr>
        <w:spacing w:after="0" w:line="240" w:lineRule="auto"/>
        <w:ind w:firstLine="993"/>
        <w:jc w:val="both"/>
        <w:rPr>
          <w:rFonts w:ascii="Times New Roman" w:eastAsia="Calibri" w:hAnsi="Times New Roman" w:cs="Times New Roman"/>
          <w:bCs/>
          <w:iCs/>
          <w:sz w:val="24"/>
          <w:szCs w:val="24"/>
        </w:rPr>
      </w:pPr>
      <w:r w:rsidRPr="001D1A25">
        <w:rPr>
          <w:rFonts w:ascii="Times New Roman" w:eastAsia="Calibri" w:hAnsi="Times New Roman" w:cs="Times New Roman"/>
          <w:bCs/>
          <w:iCs/>
          <w:sz w:val="24"/>
          <w:szCs w:val="24"/>
        </w:rPr>
        <w:t>16</w:t>
      </w:r>
      <w:r>
        <w:rPr>
          <w:rFonts w:ascii="Times New Roman" w:eastAsia="Calibri" w:hAnsi="Times New Roman" w:cs="Times New Roman"/>
          <w:bCs/>
          <w:iCs/>
          <w:sz w:val="24"/>
          <w:szCs w:val="24"/>
        </w:rPr>
        <w:t xml:space="preserve">.3. </w:t>
      </w:r>
      <w:r w:rsidRPr="00661D65">
        <w:rPr>
          <w:rFonts w:ascii="Times New Roman" w:eastAsia="Calibri" w:hAnsi="Times New Roman" w:cs="Times New Roman"/>
          <w:b/>
          <w:sz w:val="24"/>
          <w:szCs w:val="24"/>
        </w:rPr>
        <w:t xml:space="preserve">vertinamojo laikotarpio </w:t>
      </w:r>
      <w:r w:rsidRPr="001D1A25">
        <w:rPr>
          <w:rFonts w:ascii="Times New Roman" w:eastAsia="Calibri" w:hAnsi="Times New Roman" w:cs="Times New Roman"/>
          <w:b/>
          <w:iCs/>
          <w:sz w:val="24"/>
          <w:szCs w:val="24"/>
        </w:rPr>
        <w:t>įstaigų ir įmonių, teigiančių, kad pirmaisiais veiklos metais gavo naudingų konsultacijų ir joms nebuvo taikytos poveikio priemonės, išskyrus atvejus, kai jos buvo būtinos ir neišvengiamos, siekiant išvengti reikšmingos žalos ar pavojaus visuomenei, kitų asmenų interesams ar aplinkai atsiradimo, dalis (proc.).</w:t>
      </w:r>
      <w:r>
        <w:rPr>
          <w:rFonts w:ascii="Times New Roman" w:eastAsia="Calibri" w:hAnsi="Times New Roman" w:cs="Times New Roman"/>
          <w:b/>
          <w:iCs/>
          <w:sz w:val="24"/>
          <w:szCs w:val="24"/>
        </w:rPr>
        <w:t xml:space="preserve"> </w:t>
      </w:r>
      <w:r w:rsidRPr="001D1A25">
        <w:rPr>
          <w:rFonts w:ascii="Times New Roman" w:eastAsia="Calibri" w:hAnsi="Times New Roman" w:cs="Times New Roman"/>
          <w:bCs/>
          <w:iCs/>
          <w:sz w:val="24"/>
          <w:szCs w:val="24"/>
        </w:rPr>
        <w:t>Nustatyta, kad 2024</w:t>
      </w:r>
      <w:r w:rsidR="001D1A25">
        <w:rPr>
          <w:rFonts w:ascii="Times New Roman" w:eastAsia="Calibri" w:hAnsi="Times New Roman" w:cs="Times New Roman"/>
          <w:bCs/>
          <w:iCs/>
          <w:sz w:val="24"/>
          <w:szCs w:val="24"/>
        </w:rPr>
        <w:t> </w:t>
      </w:r>
      <w:r w:rsidRPr="001D1A25">
        <w:rPr>
          <w:rFonts w:ascii="Times New Roman" w:eastAsia="Calibri" w:hAnsi="Times New Roman" w:cs="Times New Roman"/>
          <w:bCs/>
          <w:iCs/>
          <w:sz w:val="24"/>
          <w:szCs w:val="24"/>
        </w:rPr>
        <w:t xml:space="preserve">m. </w:t>
      </w:r>
      <w:r w:rsidRPr="00697008">
        <w:rPr>
          <w:rFonts w:ascii="Times New Roman" w:eastAsia="Calibri" w:hAnsi="Times New Roman" w:cs="Times New Roman"/>
          <w:bCs/>
          <w:iCs/>
          <w:sz w:val="24"/>
          <w:szCs w:val="24"/>
        </w:rPr>
        <w:t>100</w:t>
      </w:r>
      <w:r w:rsidR="00EB4074">
        <w:rPr>
          <w:rFonts w:ascii="Times New Roman" w:eastAsia="Calibri" w:hAnsi="Times New Roman" w:cs="Times New Roman"/>
          <w:bCs/>
          <w:iCs/>
          <w:sz w:val="24"/>
          <w:szCs w:val="24"/>
        </w:rPr>
        <w:t> </w:t>
      </w:r>
      <w:r w:rsidRPr="00697008">
        <w:rPr>
          <w:rFonts w:ascii="Times New Roman" w:eastAsia="Calibri" w:hAnsi="Times New Roman" w:cs="Times New Roman"/>
          <w:bCs/>
          <w:iCs/>
          <w:sz w:val="24"/>
          <w:szCs w:val="24"/>
        </w:rPr>
        <w:t xml:space="preserve">proc. </w:t>
      </w:r>
      <w:r w:rsidRPr="00661D65">
        <w:rPr>
          <w:rFonts w:ascii="Times New Roman" w:eastAsia="Calibri" w:hAnsi="Times New Roman" w:cs="Times New Roman"/>
          <w:bCs/>
          <w:color w:val="000000"/>
          <w:sz w:val="24"/>
          <w:szCs w:val="24"/>
          <w:lang w:eastAsia="lt-LT"/>
        </w:rPr>
        <w:t>ūkio subjektų</w:t>
      </w:r>
      <w:r w:rsidRPr="00661D65">
        <w:rPr>
          <w:rFonts w:ascii="Times New Roman" w:eastAsia="Calibri" w:hAnsi="Times New Roman" w:cs="Times New Roman"/>
          <w:bCs/>
          <w:sz w:val="24"/>
          <w:szCs w:val="24"/>
          <w:lang w:eastAsia="lt-LT"/>
        </w:rPr>
        <w:t>,</w:t>
      </w:r>
      <w:r w:rsidRPr="00661D65">
        <w:rPr>
          <w:rFonts w:ascii="Times New Roman" w:eastAsia="Calibri" w:hAnsi="Times New Roman" w:cs="Times New Roman"/>
          <w:bCs/>
          <w:sz w:val="24"/>
          <w:szCs w:val="24"/>
        </w:rPr>
        <w:t xml:space="preserve"> </w:t>
      </w:r>
      <w:r w:rsidRPr="001D1A25">
        <w:rPr>
          <w:rFonts w:ascii="Times New Roman" w:eastAsia="Calibri" w:hAnsi="Times New Roman" w:cs="Times New Roman"/>
          <w:bCs/>
          <w:iCs/>
          <w:sz w:val="24"/>
          <w:szCs w:val="24"/>
        </w:rPr>
        <w:t>kuriuose patikrinimas atliktas pirmaisiais jų veiklos metais, sutiko, kad patikrinimas prisidėjo prie jų veiklos tobulinimo.</w:t>
      </w:r>
      <w:r w:rsidRPr="003560CC">
        <w:rPr>
          <w:rFonts w:ascii="Times New Roman" w:eastAsia="Calibri" w:hAnsi="Times New Roman" w:cs="Times New Roman"/>
          <w:bCs/>
          <w:iCs/>
          <w:sz w:val="24"/>
          <w:szCs w:val="24"/>
        </w:rPr>
        <w:t xml:space="preserve"> </w:t>
      </w:r>
    </w:p>
    <w:p w14:paraId="3053B100" w14:textId="7BA91D5F" w:rsidR="00C6586C" w:rsidRPr="001D1A25" w:rsidRDefault="00BE25D3" w:rsidP="00E43383">
      <w:pPr>
        <w:spacing w:after="0" w:line="240" w:lineRule="auto"/>
        <w:ind w:firstLine="993"/>
        <w:jc w:val="both"/>
        <w:rPr>
          <w:rFonts w:ascii="Times New Roman" w:eastAsia="Calibri" w:hAnsi="Times New Roman" w:cs="Times New Roman"/>
          <w:b/>
          <w:sz w:val="24"/>
          <w:szCs w:val="24"/>
        </w:rPr>
      </w:pPr>
      <w:r w:rsidRPr="00157C0B">
        <w:rPr>
          <w:rFonts w:ascii="Times New Roman" w:eastAsia="Calibri" w:hAnsi="Times New Roman" w:cs="Times New Roman"/>
          <w:bCs/>
          <w:iCs/>
          <w:sz w:val="24"/>
          <w:szCs w:val="24"/>
        </w:rPr>
        <w:t>Kiti grįžtamojo ryšio rezultatai</w:t>
      </w:r>
      <w:r w:rsidR="00C6586C" w:rsidRPr="00157C0B">
        <w:rPr>
          <w:rFonts w:ascii="Times New Roman" w:eastAsia="Calibri" w:hAnsi="Times New Roman" w:cs="Times New Roman"/>
          <w:bCs/>
          <w:iCs/>
          <w:sz w:val="24"/>
          <w:szCs w:val="24"/>
        </w:rPr>
        <w:t xml:space="preserve"> pateikiami priede</w:t>
      </w:r>
      <w:r w:rsidR="00D25090" w:rsidRPr="00157C0B">
        <w:rPr>
          <w:rFonts w:ascii="Times New Roman" w:eastAsia="Calibri" w:hAnsi="Times New Roman" w:cs="Times New Roman"/>
          <w:bCs/>
          <w:iCs/>
          <w:sz w:val="24"/>
          <w:szCs w:val="24"/>
        </w:rPr>
        <w:t xml:space="preserve"> (pridedama).</w:t>
      </w:r>
    </w:p>
    <w:p w14:paraId="06AC6C14" w14:textId="25A70D99" w:rsidR="00AA69ED" w:rsidRPr="00157C0B" w:rsidRDefault="00D25090" w:rsidP="00E43383">
      <w:pPr>
        <w:spacing w:after="0" w:line="240" w:lineRule="auto"/>
        <w:ind w:firstLine="993"/>
        <w:jc w:val="both"/>
        <w:rPr>
          <w:rFonts w:ascii="Times New Roman" w:eastAsia="Calibri" w:hAnsi="Times New Roman" w:cs="Times New Roman"/>
          <w:bCs/>
          <w:iCs/>
          <w:sz w:val="24"/>
          <w:szCs w:val="24"/>
        </w:rPr>
      </w:pPr>
      <w:r w:rsidRPr="00157C0B">
        <w:rPr>
          <w:rFonts w:ascii="Times New Roman" w:eastAsia="Calibri" w:hAnsi="Times New Roman" w:cs="Times New Roman"/>
          <w:bCs/>
          <w:iCs/>
          <w:sz w:val="24"/>
          <w:szCs w:val="24"/>
        </w:rPr>
        <w:t xml:space="preserve">PRIEDAS. Grįžtamojo ryšio ataskaita už </w:t>
      </w:r>
      <w:r w:rsidR="00384F7B" w:rsidRPr="00157C0B">
        <w:rPr>
          <w:rFonts w:ascii="Times New Roman" w:eastAsia="Calibri" w:hAnsi="Times New Roman" w:cs="Times New Roman"/>
          <w:bCs/>
          <w:iCs/>
          <w:sz w:val="24"/>
          <w:szCs w:val="24"/>
        </w:rPr>
        <w:t>202</w:t>
      </w:r>
      <w:r w:rsidR="00384F7B">
        <w:rPr>
          <w:rFonts w:ascii="Times New Roman" w:eastAsia="Calibri" w:hAnsi="Times New Roman" w:cs="Times New Roman"/>
          <w:bCs/>
          <w:iCs/>
          <w:sz w:val="24"/>
          <w:szCs w:val="24"/>
        </w:rPr>
        <w:t>4 </w:t>
      </w:r>
      <w:r w:rsidRPr="00157C0B">
        <w:rPr>
          <w:rFonts w:ascii="Times New Roman" w:eastAsia="Calibri" w:hAnsi="Times New Roman" w:cs="Times New Roman"/>
          <w:bCs/>
          <w:iCs/>
          <w:sz w:val="24"/>
          <w:szCs w:val="24"/>
        </w:rPr>
        <w:t>m.pdf</w:t>
      </w:r>
    </w:p>
    <w:p w14:paraId="370800EF" w14:textId="77777777" w:rsidR="00345F00" w:rsidRDefault="00345F00" w:rsidP="00345F00">
      <w:pPr>
        <w:spacing w:after="0" w:line="240" w:lineRule="auto"/>
        <w:jc w:val="center"/>
        <w:rPr>
          <w:rFonts w:ascii="Times New Roman" w:hAnsi="Times New Roman" w:cs="Times New Roman"/>
          <w:b/>
          <w:sz w:val="24"/>
          <w:szCs w:val="24"/>
        </w:rPr>
      </w:pPr>
    </w:p>
    <w:p w14:paraId="505B4452" w14:textId="77777777" w:rsidR="00967E8C" w:rsidRDefault="00967E8C" w:rsidP="00345F00">
      <w:pPr>
        <w:spacing w:after="0" w:line="240" w:lineRule="auto"/>
        <w:jc w:val="center"/>
        <w:rPr>
          <w:rFonts w:ascii="Times New Roman" w:hAnsi="Times New Roman" w:cs="Times New Roman"/>
          <w:b/>
          <w:sz w:val="24"/>
          <w:szCs w:val="24"/>
        </w:rPr>
      </w:pPr>
    </w:p>
    <w:p w14:paraId="6357ED07" w14:textId="77777777" w:rsidR="00967E8C" w:rsidRDefault="00967E8C" w:rsidP="00345F00">
      <w:pPr>
        <w:spacing w:after="0" w:line="240" w:lineRule="auto"/>
        <w:jc w:val="center"/>
        <w:rPr>
          <w:rFonts w:ascii="Times New Roman" w:hAnsi="Times New Roman" w:cs="Times New Roman"/>
          <w:b/>
          <w:sz w:val="24"/>
          <w:szCs w:val="24"/>
        </w:rPr>
      </w:pPr>
    </w:p>
    <w:p w14:paraId="06C376B9" w14:textId="5858D7B4" w:rsidR="00CB18CC" w:rsidRPr="00157C0B" w:rsidRDefault="00172E29" w:rsidP="00345F00">
      <w:pPr>
        <w:spacing w:after="0" w:line="240" w:lineRule="auto"/>
        <w:jc w:val="center"/>
        <w:rPr>
          <w:rFonts w:ascii="Times New Roman" w:hAnsi="Times New Roman" w:cs="Times New Roman"/>
          <w:b/>
          <w:sz w:val="24"/>
          <w:szCs w:val="24"/>
        </w:rPr>
      </w:pPr>
      <w:r w:rsidRPr="00157C0B">
        <w:rPr>
          <w:rFonts w:ascii="Times New Roman" w:hAnsi="Times New Roman" w:cs="Times New Roman"/>
          <w:b/>
          <w:sz w:val="24"/>
          <w:szCs w:val="24"/>
        </w:rPr>
        <w:lastRenderedPageBreak/>
        <w:t>IŠVADOS</w:t>
      </w:r>
    </w:p>
    <w:p w14:paraId="13AE3901" w14:textId="77777777" w:rsidR="005B3929" w:rsidRPr="00157C0B" w:rsidRDefault="005B3929" w:rsidP="00064078">
      <w:pPr>
        <w:tabs>
          <w:tab w:val="left" w:pos="851"/>
        </w:tabs>
        <w:spacing w:after="0" w:line="240" w:lineRule="auto"/>
        <w:jc w:val="center"/>
        <w:rPr>
          <w:rFonts w:ascii="Times New Roman" w:hAnsi="Times New Roman" w:cs="Times New Roman"/>
          <w:b/>
          <w:sz w:val="24"/>
          <w:szCs w:val="24"/>
        </w:rPr>
      </w:pPr>
    </w:p>
    <w:p w14:paraId="0F656E06" w14:textId="2E73D2E8" w:rsidR="00DB2349" w:rsidRDefault="00DB2349" w:rsidP="00DB2349">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5B3929" w:rsidRPr="00DB2349">
        <w:rPr>
          <w:rFonts w:ascii="Times New Roman" w:hAnsi="Times New Roman" w:cs="Times New Roman"/>
          <w:bCs/>
          <w:sz w:val="24"/>
          <w:szCs w:val="24"/>
        </w:rPr>
        <w:t>202</w:t>
      </w:r>
      <w:r w:rsidR="00153C06" w:rsidRPr="00DB2349">
        <w:rPr>
          <w:rFonts w:ascii="Times New Roman" w:hAnsi="Times New Roman" w:cs="Times New Roman"/>
          <w:bCs/>
          <w:sz w:val="24"/>
          <w:szCs w:val="24"/>
        </w:rPr>
        <w:t>4 </w:t>
      </w:r>
      <w:r w:rsidR="005B3929" w:rsidRPr="00DB2349">
        <w:rPr>
          <w:rFonts w:ascii="Times New Roman" w:hAnsi="Times New Roman" w:cs="Times New Roman"/>
          <w:bCs/>
          <w:sz w:val="24"/>
          <w:szCs w:val="24"/>
        </w:rPr>
        <w:t xml:space="preserve">m. dėl nuoseklaus VLK ir TLK </w:t>
      </w:r>
      <w:r w:rsidR="006322CF" w:rsidRPr="00DB2349">
        <w:rPr>
          <w:rFonts w:ascii="Times New Roman" w:hAnsi="Times New Roman" w:cs="Times New Roman"/>
          <w:bCs/>
          <w:sz w:val="24"/>
          <w:szCs w:val="24"/>
        </w:rPr>
        <w:t>atliekamo</w:t>
      </w:r>
      <w:r w:rsidR="005B3929" w:rsidRPr="00DB2349">
        <w:rPr>
          <w:rFonts w:ascii="Times New Roman" w:hAnsi="Times New Roman" w:cs="Times New Roman"/>
          <w:bCs/>
          <w:sz w:val="24"/>
          <w:szCs w:val="24"/>
        </w:rPr>
        <w:t xml:space="preserve"> ūkio subjektų konsultavimo ir </w:t>
      </w:r>
      <w:r w:rsidR="002718AB" w:rsidRPr="00DB2349">
        <w:rPr>
          <w:rFonts w:ascii="Times New Roman" w:hAnsi="Times New Roman" w:cs="Times New Roman"/>
          <w:bCs/>
          <w:sz w:val="24"/>
          <w:szCs w:val="24"/>
        </w:rPr>
        <w:t xml:space="preserve">jų veiklos </w:t>
      </w:r>
      <w:r w:rsidR="005B3929" w:rsidRPr="00DB2349">
        <w:rPr>
          <w:rFonts w:ascii="Times New Roman" w:hAnsi="Times New Roman" w:cs="Times New Roman"/>
          <w:bCs/>
          <w:sz w:val="24"/>
          <w:szCs w:val="24"/>
        </w:rPr>
        <w:t xml:space="preserve">stebėsenos buvo išvengta </w:t>
      </w:r>
      <w:r w:rsidR="00202856" w:rsidRPr="00DB2349">
        <w:rPr>
          <w:rFonts w:ascii="Times New Roman" w:hAnsi="Times New Roman" w:cs="Times New Roman"/>
          <w:bCs/>
          <w:sz w:val="24"/>
          <w:szCs w:val="24"/>
        </w:rPr>
        <w:t>6 357,93</w:t>
      </w:r>
      <w:r w:rsidR="002B4393" w:rsidRPr="00DB2349">
        <w:rPr>
          <w:rFonts w:ascii="Times New Roman" w:hAnsi="Times New Roman" w:cs="Times New Roman"/>
          <w:bCs/>
          <w:sz w:val="24"/>
          <w:szCs w:val="24"/>
        </w:rPr>
        <w:t> </w:t>
      </w:r>
      <w:r w:rsidR="002268F5" w:rsidRPr="00DB2349">
        <w:rPr>
          <w:rFonts w:ascii="Times New Roman" w:hAnsi="Times New Roman" w:cs="Times New Roman"/>
          <w:bCs/>
          <w:sz w:val="24"/>
          <w:szCs w:val="24"/>
        </w:rPr>
        <w:t>tūkst.</w:t>
      </w:r>
      <w:r w:rsidR="005B3929" w:rsidRPr="00DB2349">
        <w:rPr>
          <w:rFonts w:ascii="Times New Roman" w:hAnsi="Times New Roman" w:cs="Times New Roman"/>
          <w:bCs/>
          <w:sz w:val="24"/>
          <w:szCs w:val="24"/>
        </w:rPr>
        <w:t xml:space="preserve"> </w:t>
      </w:r>
      <w:r w:rsidR="006322CF" w:rsidRPr="00DB2349">
        <w:rPr>
          <w:rFonts w:ascii="Times New Roman" w:hAnsi="Times New Roman" w:cs="Times New Roman"/>
          <w:bCs/>
          <w:sz w:val="24"/>
          <w:szCs w:val="24"/>
        </w:rPr>
        <w:t>Eur</w:t>
      </w:r>
      <w:r w:rsidR="005B3929" w:rsidRPr="00DB2349">
        <w:rPr>
          <w:rFonts w:ascii="Times New Roman" w:hAnsi="Times New Roman" w:cs="Times New Roman"/>
          <w:bCs/>
          <w:sz w:val="24"/>
          <w:szCs w:val="24"/>
        </w:rPr>
        <w:t xml:space="preserve"> žalos PSDF biudžetui</w:t>
      </w:r>
      <w:r w:rsidR="000A6BB0" w:rsidRPr="00DB2349">
        <w:rPr>
          <w:rFonts w:ascii="Times New Roman" w:hAnsi="Times New Roman" w:cs="Times New Roman"/>
          <w:bCs/>
          <w:sz w:val="24"/>
          <w:szCs w:val="24"/>
        </w:rPr>
        <w:t xml:space="preserve"> –</w:t>
      </w:r>
      <w:r w:rsidR="005B3929" w:rsidRPr="00DB2349">
        <w:rPr>
          <w:rFonts w:ascii="Times New Roman" w:hAnsi="Times New Roman" w:cs="Times New Roman"/>
          <w:bCs/>
          <w:sz w:val="24"/>
          <w:szCs w:val="24"/>
        </w:rPr>
        <w:t xml:space="preserve"> tai </w:t>
      </w:r>
      <w:r w:rsidR="00202856" w:rsidRPr="00DB2349">
        <w:rPr>
          <w:rFonts w:ascii="Times New Roman" w:hAnsi="Times New Roman" w:cs="Times New Roman"/>
          <w:bCs/>
          <w:sz w:val="24"/>
          <w:szCs w:val="24"/>
        </w:rPr>
        <w:t>2,8</w:t>
      </w:r>
      <w:r w:rsidR="00400A0B" w:rsidRPr="00DB2349">
        <w:rPr>
          <w:rFonts w:ascii="Times New Roman" w:hAnsi="Times New Roman" w:cs="Times New Roman"/>
          <w:bCs/>
          <w:sz w:val="24"/>
          <w:szCs w:val="24"/>
        </w:rPr>
        <w:t xml:space="preserve"> karto</w:t>
      </w:r>
      <w:r w:rsidR="005B3929" w:rsidRPr="00DB2349">
        <w:rPr>
          <w:rFonts w:ascii="Times New Roman" w:hAnsi="Times New Roman" w:cs="Times New Roman"/>
          <w:bCs/>
          <w:sz w:val="24"/>
          <w:szCs w:val="24"/>
        </w:rPr>
        <w:t xml:space="preserve"> viršijo nustatytos faktinės žalos PSDF biudžetui dydį (</w:t>
      </w:r>
      <w:r w:rsidR="00202856" w:rsidRPr="00DB2349">
        <w:rPr>
          <w:rFonts w:ascii="Times New Roman" w:hAnsi="Times New Roman" w:cs="Times New Roman"/>
          <w:bCs/>
          <w:sz w:val="24"/>
          <w:szCs w:val="24"/>
        </w:rPr>
        <w:t>2 246,54</w:t>
      </w:r>
      <w:r w:rsidR="002B4393" w:rsidRPr="00DB2349">
        <w:rPr>
          <w:rFonts w:ascii="Times New Roman" w:hAnsi="Times New Roman" w:cs="Times New Roman"/>
          <w:bCs/>
          <w:sz w:val="24"/>
          <w:szCs w:val="24"/>
        </w:rPr>
        <w:t> </w:t>
      </w:r>
      <w:r w:rsidR="005B3929" w:rsidRPr="00DB2349">
        <w:rPr>
          <w:rFonts w:ascii="Times New Roman" w:hAnsi="Times New Roman" w:cs="Times New Roman"/>
          <w:bCs/>
          <w:sz w:val="24"/>
          <w:szCs w:val="24"/>
        </w:rPr>
        <w:t xml:space="preserve">tūkst. </w:t>
      </w:r>
      <w:r w:rsidR="006322CF" w:rsidRPr="00DB2349">
        <w:rPr>
          <w:rFonts w:ascii="Times New Roman" w:hAnsi="Times New Roman" w:cs="Times New Roman"/>
          <w:bCs/>
          <w:sz w:val="24"/>
          <w:szCs w:val="24"/>
        </w:rPr>
        <w:t>Eur</w:t>
      </w:r>
      <w:r w:rsidR="005B3929" w:rsidRPr="00DB2349">
        <w:rPr>
          <w:rFonts w:ascii="Times New Roman" w:hAnsi="Times New Roman" w:cs="Times New Roman"/>
          <w:bCs/>
          <w:sz w:val="24"/>
          <w:szCs w:val="24"/>
        </w:rPr>
        <w:t xml:space="preserve">). </w:t>
      </w:r>
      <w:r w:rsidR="000A6BB0" w:rsidRPr="00DB2349">
        <w:rPr>
          <w:rFonts w:ascii="Times New Roman" w:hAnsi="Times New Roman" w:cs="Times New Roman"/>
          <w:bCs/>
          <w:sz w:val="24"/>
          <w:szCs w:val="24"/>
        </w:rPr>
        <w:t>Galima teigti</w:t>
      </w:r>
      <w:r w:rsidR="006322CF" w:rsidRPr="00DB2349">
        <w:rPr>
          <w:rFonts w:ascii="Times New Roman" w:hAnsi="Times New Roman" w:cs="Times New Roman"/>
          <w:bCs/>
          <w:sz w:val="24"/>
          <w:szCs w:val="24"/>
        </w:rPr>
        <w:t>, kad</w:t>
      </w:r>
      <w:r w:rsidR="000A6BB0" w:rsidRPr="00DB2349">
        <w:rPr>
          <w:rFonts w:ascii="Times New Roman" w:hAnsi="Times New Roman" w:cs="Times New Roman"/>
          <w:bCs/>
          <w:sz w:val="24"/>
          <w:szCs w:val="24"/>
        </w:rPr>
        <w:t>,</w:t>
      </w:r>
      <w:r w:rsidR="005B3929" w:rsidRPr="00DB2349">
        <w:rPr>
          <w:rFonts w:ascii="Times New Roman" w:hAnsi="Times New Roman" w:cs="Times New Roman"/>
          <w:bCs/>
          <w:sz w:val="24"/>
          <w:szCs w:val="24"/>
        </w:rPr>
        <w:t xml:space="preserve"> laiku </w:t>
      </w:r>
      <w:r w:rsidR="00400A0B" w:rsidRPr="00DB2349">
        <w:rPr>
          <w:rFonts w:ascii="Times New Roman" w:hAnsi="Times New Roman" w:cs="Times New Roman"/>
          <w:bCs/>
          <w:sz w:val="24"/>
          <w:szCs w:val="24"/>
        </w:rPr>
        <w:t>pastebėjus neatitik</w:t>
      </w:r>
      <w:r w:rsidR="002718AB" w:rsidRPr="00DB2349">
        <w:rPr>
          <w:rFonts w:ascii="Times New Roman" w:hAnsi="Times New Roman" w:cs="Times New Roman"/>
          <w:bCs/>
          <w:sz w:val="24"/>
          <w:szCs w:val="24"/>
        </w:rPr>
        <w:t>tis</w:t>
      </w:r>
      <w:r w:rsidR="00400A0B" w:rsidRPr="00DB2349">
        <w:rPr>
          <w:rFonts w:ascii="Times New Roman" w:hAnsi="Times New Roman" w:cs="Times New Roman"/>
          <w:bCs/>
          <w:sz w:val="24"/>
          <w:szCs w:val="24"/>
        </w:rPr>
        <w:t xml:space="preserve"> ir ūkio subjektams </w:t>
      </w:r>
      <w:r w:rsidR="006322CF" w:rsidRPr="00DB2349">
        <w:rPr>
          <w:rFonts w:ascii="Times New Roman" w:hAnsi="Times New Roman" w:cs="Times New Roman"/>
          <w:bCs/>
          <w:sz w:val="24"/>
          <w:szCs w:val="24"/>
        </w:rPr>
        <w:t>pa</w:t>
      </w:r>
      <w:r w:rsidR="00400A0B" w:rsidRPr="00DB2349">
        <w:rPr>
          <w:rFonts w:ascii="Times New Roman" w:hAnsi="Times New Roman" w:cs="Times New Roman"/>
          <w:bCs/>
          <w:sz w:val="24"/>
          <w:szCs w:val="24"/>
        </w:rPr>
        <w:t>taisius</w:t>
      </w:r>
      <w:r w:rsidR="005B3929" w:rsidRPr="00DB2349">
        <w:rPr>
          <w:rFonts w:ascii="Times New Roman" w:hAnsi="Times New Roman" w:cs="Times New Roman"/>
          <w:bCs/>
          <w:sz w:val="24"/>
          <w:szCs w:val="24"/>
        </w:rPr>
        <w:t xml:space="preserve"> </w:t>
      </w:r>
      <w:r w:rsidR="006322CF" w:rsidRPr="00DB2349">
        <w:rPr>
          <w:rFonts w:ascii="Times New Roman" w:hAnsi="Times New Roman" w:cs="Times New Roman"/>
          <w:bCs/>
          <w:sz w:val="24"/>
          <w:szCs w:val="24"/>
        </w:rPr>
        <w:t xml:space="preserve">klaidingus </w:t>
      </w:r>
      <w:r w:rsidR="005B3929" w:rsidRPr="00DB2349">
        <w:rPr>
          <w:rFonts w:ascii="Times New Roman" w:hAnsi="Times New Roman" w:cs="Times New Roman"/>
          <w:bCs/>
          <w:sz w:val="24"/>
          <w:szCs w:val="24"/>
        </w:rPr>
        <w:t>statistin</w:t>
      </w:r>
      <w:r w:rsidR="006322CF" w:rsidRPr="00DB2349">
        <w:rPr>
          <w:rFonts w:ascii="Times New Roman" w:hAnsi="Times New Roman" w:cs="Times New Roman"/>
          <w:bCs/>
          <w:sz w:val="24"/>
          <w:szCs w:val="24"/>
        </w:rPr>
        <w:t>ius duomenis</w:t>
      </w:r>
      <w:r w:rsidR="005B3929" w:rsidRPr="00DB2349">
        <w:rPr>
          <w:rFonts w:ascii="Times New Roman" w:hAnsi="Times New Roman" w:cs="Times New Roman"/>
          <w:bCs/>
          <w:sz w:val="24"/>
          <w:szCs w:val="24"/>
        </w:rPr>
        <w:t xml:space="preserve">, </w:t>
      </w:r>
      <w:r w:rsidR="00400A0B" w:rsidRPr="00DB2349">
        <w:rPr>
          <w:rFonts w:ascii="Times New Roman" w:hAnsi="Times New Roman" w:cs="Times New Roman"/>
          <w:bCs/>
          <w:sz w:val="24"/>
          <w:szCs w:val="24"/>
        </w:rPr>
        <w:t>išvengiama nuostolių ir nepadaroma žala</w:t>
      </w:r>
      <w:r w:rsidR="005B3929" w:rsidRPr="00DB2349">
        <w:rPr>
          <w:rFonts w:ascii="Times New Roman" w:hAnsi="Times New Roman" w:cs="Times New Roman"/>
          <w:bCs/>
          <w:sz w:val="24"/>
          <w:szCs w:val="24"/>
        </w:rPr>
        <w:t xml:space="preserve"> PSDF biudžetui</w:t>
      </w:r>
      <w:r w:rsidR="00400A0B" w:rsidRPr="00DB2349">
        <w:rPr>
          <w:rFonts w:ascii="Times New Roman" w:hAnsi="Times New Roman" w:cs="Times New Roman"/>
          <w:bCs/>
          <w:sz w:val="24"/>
          <w:szCs w:val="24"/>
        </w:rPr>
        <w:t>.</w:t>
      </w:r>
    </w:p>
    <w:p w14:paraId="732238E3" w14:textId="3CF34277" w:rsidR="00DB2349" w:rsidRDefault="00DB2349" w:rsidP="00DB2349">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376B1E">
        <w:rPr>
          <w:rFonts w:ascii="Times New Roman" w:hAnsi="Times New Roman" w:cs="Times New Roman"/>
          <w:bCs/>
          <w:sz w:val="24"/>
          <w:szCs w:val="24"/>
        </w:rPr>
        <w:t>Nors</w:t>
      </w:r>
      <w:r w:rsidR="004D18A4" w:rsidRPr="00DB2349">
        <w:rPr>
          <w:rFonts w:ascii="Times New Roman" w:hAnsi="Times New Roman" w:cs="Times New Roman"/>
          <w:bCs/>
          <w:sz w:val="24"/>
          <w:szCs w:val="24"/>
        </w:rPr>
        <w:t xml:space="preserve"> </w:t>
      </w:r>
      <w:r w:rsidR="002948D0" w:rsidRPr="00DB2349">
        <w:rPr>
          <w:rFonts w:ascii="Times New Roman" w:hAnsi="Times New Roman" w:cs="Times New Roman"/>
          <w:bCs/>
          <w:sz w:val="24"/>
          <w:szCs w:val="24"/>
        </w:rPr>
        <w:t xml:space="preserve">TLK </w:t>
      </w:r>
      <w:r w:rsidR="00230D04" w:rsidRPr="00DB2349">
        <w:rPr>
          <w:rFonts w:ascii="Times New Roman" w:hAnsi="Times New Roman" w:cs="Times New Roman"/>
          <w:bCs/>
          <w:sz w:val="24"/>
          <w:szCs w:val="24"/>
        </w:rPr>
        <w:t>stebėsenos duomenų pagrindu inicijuotų kontrolės procedūrų dalis</w:t>
      </w:r>
      <w:r w:rsidR="000A6BB0" w:rsidRPr="00DB2349">
        <w:rPr>
          <w:rFonts w:ascii="Times New Roman" w:hAnsi="Times New Roman" w:cs="Times New Roman"/>
          <w:bCs/>
          <w:sz w:val="24"/>
          <w:szCs w:val="24"/>
        </w:rPr>
        <w:t>, palyginti su bendru</w:t>
      </w:r>
      <w:r w:rsidR="00230D04" w:rsidRPr="00DB2349">
        <w:rPr>
          <w:rFonts w:ascii="Times New Roman" w:hAnsi="Times New Roman" w:cs="Times New Roman"/>
          <w:bCs/>
          <w:sz w:val="24"/>
          <w:szCs w:val="24"/>
        </w:rPr>
        <w:t xml:space="preserve"> kontrolės procedūrų </w:t>
      </w:r>
      <w:r w:rsidR="000A6BB0" w:rsidRPr="00DB2349">
        <w:rPr>
          <w:rFonts w:ascii="Times New Roman" w:hAnsi="Times New Roman" w:cs="Times New Roman"/>
          <w:bCs/>
          <w:sz w:val="24"/>
          <w:szCs w:val="24"/>
        </w:rPr>
        <w:t>skaičiumi</w:t>
      </w:r>
      <w:r w:rsidR="008760A2">
        <w:rPr>
          <w:rFonts w:ascii="Times New Roman" w:hAnsi="Times New Roman" w:cs="Times New Roman"/>
          <w:sz w:val="24"/>
          <w:szCs w:val="24"/>
        </w:rPr>
        <w:t xml:space="preserve"> </w:t>
      </w:r>
      <w:r w:rsidR="00070183" w:rsidRPr="00DB2349">
        <w:rPr>
          <w:rFonts w:ascii="Times New Roman" w:hAnsi="Times New Roman" w:cs="Times New Roman"/>
          <w:bCs/>
          <w:sz w:val="24"/>
          <w:szCs w:val="24"/>
        </w:rPr>
        <w:t>2024 </w:t>
      </w:r>
      <w:r w:rsidR="00F30CA4" w:rsidRPr="00DB2349">
        <w:rPr>
          <w:rFonts w:ascii="Times New Roman" w:hAnsi="Times New Roman" w:cs="Times New Roman"/>
          <w:bCs/>
          <w:sz w:val="24"/>
          <w:szCs w:val="24"/>
        </w:rPr>
        <w:t xml:space="preserve">m. </w:t>
      </w:r>
      <w:r w:rsidR="00376B1E">
        <w:rPr>
          <w:rFonts w:ascii="Times New Roman" w:hAnsi="Times New Roman" w:cs="Times New Roman"/>
          <w:bCs/>
          <w:sz w:val="24"/>
          <w:szCs w:val="24"/>
        </w:rPr>
        <w:t xml:space="preserve">sumažėjo 13 procentinių punktų, visgi </w:t>
      </w:r>
      <w:r w:rsidR="00070183" w:rsidRPr="00DB2349">
        <w:rPr>
          <w:rFonts w:ascii="Times New Roman" w:hAnsi="Times New Roman" w:cs="Times New Roman"/>
          <w:bCs/>
          <w:sz w:val="24"/>
          <w:szCs w:val="24"/>
        </w:rPr>
        <w:t>2024 </w:t>
      </w:r>
      <w:r w:rsidR="00F30CA4" w:rsidRPr="00DB2349">
        <w:rPr>
          <w:rFonts w:ascii="Times New Roman" w:hAnsi="Times New Roman" w:cs="Times New Roman"/>
          <w:bCs/>
          <w:sz w:val="24"/>
          <w:szCs w:val="24"/>
        </w:rPr>
        <w:t xml:space="preserve">m. </w:t>
      </w:r>
      <w:r w:rsidR="004D18A4" w:rsidRPr="00DB2349">
        <w:rPr>
          <w:rFonts w:ascii="Times New Roman" w:hAnsi="Times New Roman" w:cs="Times New Roman"/>
          <w:bCs/>
          <w:sz w:val="24"/>
          <w:szCs w:val="24"/>
        </w:rPr>
        <w:t xml:space="preserve">stebėsenos duomenų pagrindu </w:t>
      </w:r>
      <w:r w:rsidR="00F30CA4" w:rsidRPr="00DB2349">
        <w:rPr>
          <w:rFonts w:ascii="Times New Roman" w:hAnsi="Times New Roman" w:cs="Times New Roman"/>
          <w:bCs/>
          <w:sz w:val="24"/>
          <w:szCs w:val="24"/>
        </w:rPr>
        <w:t xml:space="preserve">buvo atliktos </w:t>
      </w:r>
      <w:r w:rsidR="001857B0" w:rsidRPr="00376B1E">
        <w:rPr>
          <w:rFonts w:ascii="Times New Roman" w:hAnsi="Times New Roman" w:cs="Times New Roman"/>
          <w:bCs/>
          <w:sz w:val="24"/>
          <w:szCs w:val="24"/>
        </w:rPr>
        <w:t>174</w:t>
      </w:r>
      <w:r w:rsidR="00070183" w:rsidRPr="00DB2349">
        <w:rPr>
          <w:rFonts w:ascii="Times New Roman" w:hAnsi="Times New Roman" w:cs="Times New Roman"/>
          <w:bCs/>
          <w:sz w:val="24"/>
          <w:szCs w:val="24"/>
        </w:rPr>
        <w:t xml:space="preserve"> </w:t>
      </w:r>
      <w:r w:rsidR="004D18A4" w:rsidRPr="00DB2349">
        <w:rPr>
          <w:rFonts w:ascii="Times New Roman" w:hAnsi="Times New Roman" w:cs="Times New Roman"/>
          <w:bCs/>
          <w:sz w:val="24"/>
          <w:szCs w:val="24"/>
        </w:rPr>
        <w:t>kontrolės</w:t>
      </w:r>
      <w:r w:rsidR="00F30CA4" w:rsidRPr="00DB2349">
        <w:rPr>
          <w:rFonts w:ascii="Times New Roman" w:hAnsi="Times New Roman" w:cs="Times New Roman"/>
          <w:bCs/>
          <w:sz w:val="24"/>
          <w:szCs w:val="24"/>
        </w:rPr>
        <w:t xml:space="preserve"> procedūros</w:t>
      </w:r>
      <w:r w:rsidR="002B4393" w:rsidRPr="00DB2349">
        <w:rPr>
          <w:rFonts w:ascii="Times New Roman" w:hAnsi="Times New Roman" w:cs="Times New Roman"/>
          <w:bCs/>
          <w:sz w:val="24"/>
          <w:szCs w:val="24"/>
        </w:rPr>
        <w:t xml:space="preserve">, tai </w:t>
      </w:r>
      <w:r w:rsidR="00376B1E">
        <w:rPr>
          <w:rFonts w:ascii="Times New Roman" w:hAnsi="Times New Roman" w:cs="Times New Roman"/>
          <w:bCs/>
          <w:sz w:val="24"/>
          <w:szCs w:val="24"/>
        </w:rPr>
        <w:t>10,13</w:t>
      </w:r>
      <w:r w:rsidR="002B4393" w:rsidRPr="00DB2349">
        <w:rPr>
          <w:rFonts w:ascii="Times New Roman" w:hAnsi="Times New Roman" w:cs="Times New Roman"/>
          <w:bCs/>
          <w:sz w:val="24"/>
          <w:szCs w:val="24"/>
        </w:rPr>
        <w:t> proc. daugiau nei 2023 metais</w:t>
      </w:r>
      <w:r w:rsidR="00376B1E">
        <w:rPr>
          <w:rFonts w:ascii="Times New Roman" w:hAnsi="Times New Roman" w:cs="Times New Roman"/>
          <w:bCs/>
          <w:sz w:val="24"/>
          <w:szCs w:val="24"/>
        </w:rPr>
        <w:t xml:space="preserve">, kai </w:t>
      </w:r>
      <w:r w:rsidR="001857B0">
        <w:rPr>
          <w:rFonts w:ascii="Times New Roman" w:hAnsi="Times New Roman" w:cs="Times New Roman"/>
          <w:bCs/>
          <w:sz w:val="24"/>
          <w:szCs w:val="24"/>
        </w:rPr>
        <w:t xml:space="preserve">buvo </w:t>
      </w:r>
      <w:r w:rsidR="00376B1E">
        <w:rPr>
          <w:rFonts w:ascii="Times New Roman" w:hAnsi="Times New Roman" w:cs="Times New Roman"/>
          <w:bCs/>
          <w:sz w:val="24"/>
          <w:szCs w:val="24"/>
        </w:rPr>
        <w:t xml:space="preserve">inicijuotos </w:t>
      </w:r>
      <w:r w:rsidR="001857B0">
        <w:rPr>
          <w:rFonts w:ascii="Times New Roman" w:hAnsi="Times New Roman" w:cs="Times New Roman"/>
          <w:bCs/>
          <w:sz w:val="24"/>
          <w:szCs w:val="24"/>
        </w:rPr>
        <w:t>158 kontrolės procedūros</w:t>
      </w:r>
      <w:r w:rsidR="002B4393" w:rsidRPr="00661D65">
        <w:rPr>
          <w:rFonts w:ascii="Times New Roman" w:hAnsi="Times New Roman" w:cs="Times New Roman"/>
          <w:bCs/>
          <w:sz w:val="24"/>
          <w:szCs w:val="24"/>
        </w:rPr>
        <w:t>.</w:t>
      </w:r>
    </w:p>
    <w:p w14:paraId="232D2558" w14:textId="77777777" w:rsidR="00DB2349" w:rsidRDefault="00DB2349" w:rsidP="00DB2349">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FC4D2D" w:rsidRPr="00DB2349">
        <w:rPr>
          <w:rFonts w:ascii="Times New Roman" w:hAnsi="Times New Roman" w:cs="Times New Roman"/>
          <w:bCs/>
          <w:sz w:val="24"/>
          <w:szCs w:val="24"/>
        </w:rPr>
        <w:t>Visos</w:t>
      </w:r>
      <w:r w:rsidR="00E91971" w:rsidRPr="00DB2349">
        <w:rPr>
          <w:rFonts w:ascii="Times New Roman" w:hAnsi="Times New Roman" w:cs="Times New Roman"/>
          <w:bCs/>
          <w:sz w:val="24"/>
          <w:szCs w:val="24"/>
        </w:rPr>
        <w:t xml:space="preserve"> TLK </w:t>
      </w:r>
      <w:r w:rsidR="00070183" w:rsidRPr="00DB2349">
        <w:rPr>
          <w:rFonts w:ascii="Times New Roman" w:hAnsi="Times New Roman" w:cs="Times New Roman"/>
          <w:bCs/>
          <w:sz w:val="24"/>
          <w:szCs w:val="24"/>
        </w:rPr>
        <w:t xml:space="preserve">2024 m. </w:t>
      </w:r>
      <w:r w:rsidR="00E91971" w:rsidRPr="00DB2349">
        <w:rPr>
          <w:rFonts w:ascii="Times New Roman" w:hAnsi="Times New Roman" w:cs="Times New Roman"/>
          <w:bCs/>
          <w:sz w:val="24"/>
          <w:szCs w:val="24"/>
        </w:rPr>
        <w:t xml:space="preserve">patikrinimus atliko pagal visas </w:t>
      </w:r>
      <w:r w:rsidR="00FC4D2D" w:rsidRPr="00DB2349">
        <w:rPr>
          <w:rFonts w:ascii="Times New Roman" w:hAnsi="Times New Roman" w:cs="Times New Roman"/>
          <w:bCs/>
          <w:sz w:val="24"/>
          <w:szCs w:val="24"/>
        </w:rPr>
        <w:t>VLK direktoriaus įsakym</w:t>
      </w:r>
      <w:r w:rsidR="000A6BB0" w:rsidRPr="00DB2349">
        <w:rPr>
          <w:rFonts w:ascii="Times New Roman" w:hAnsi="Times New Roman" w:cs="Times New Roman"/>
          <w:bCs/>
          <w:sz w:val="24"/>
          <w:szCs w:val="24"/>
        </w:rPr>
        <w:t>u</w:t>
      </w:r>
      <w:r w:rsidR="00FC4D2D" w:rsidRPr="00DB2349">
        <w:rPr>
          <w:rFonts w:ascii="Times New Roman" w:hAnsi="Times New Roman" w:cs="Times New Roman"/>
          <w:bCs/>
          <w:sz w:val="24"/>
          <w:szCs w:val="24"/>
        </w:rPr>
        <w:t xml:space="preserve"> patvirtintas </w:t>
      </w:r>
      <w:r w:rsidR="00E91971" w:rsidRPr="00DB2349">
        <w:rPr>
          <w:rFonts w:ascii="Times New Roman" w:hAnsi="Times New Roman" w:cs="Times New Roman"/>
          <w:bCs/>
          <w:sz w:val="24"/>
          <w:szCs w:val="24"/>
        </w:rPr>
        <w:t>prioritetines kontrolės kryptis</w:t>
      </w:r>
      <w:r w:rsidR="00FC4D2D" w:rsidRPr="00DB2349">
        <w:rPr>
          <w:rFonts w:ascii="Times New Roman" w:hAnsi="Times New Roman" w:cs="Times New Roman"/>
          <w:bCs/>
          <w:sz w:val="24"/>
          <w:szCs w:val="24"/>
        </w:rPr>
        <w:t>.</w:t>
      </w:r>
    </w:p>
    <w:p w14:paraId="48B9CD39" w14:textId="14965D3A" w:rsidR="0099111D" w:rsidRPr="0099111D" w:rsidRDefault="00DB2349" w:rsidP="0099111D">
      <w:pPr>
        <w:spacing w:after="0" w:line="240" w:lineRule="auto"/>
        <w:ind w:firstLine="851"/>
        <w:jc w:val="both"/>
        <w:rPr>
          <w:rFonts w:ascii="Times New Roman" w:hAnsi="Times New Roman" w:cs="Times New Roman"/>
          <w:bCs/>
          <w:iCs/>
          <w:sz w:val="24"/>
          <w:szCs w:val="24"/>
        </w:rPr>
      </w:pPr>
      <w:r w:rsidRPr="00661D65">
        <w:rPr>
          <w:rFonts w:ascii="Times New Roman" w:hAnsi="Times New Roman" w:cs="Times New Roman"/>
          <w:bCs/>
          <w:sz w:val="24"/>
          <w:szCs w:val="24"/>
        </w:rPr>
        <w:t xml:space="preserve">4. </w:t>
      </w:r>
      <w:r w:rsidR="00E575FC" w:rsidRPr="00661D65">
        <w:rPr>
          <w:rFonts w:ascii="Times New Roman" w:hAnsi="Times New Roman" w:cs="Times New Roman"/>
          <w:bCs/>
          <w:sz w:val="24"/>
          <w:szCs w:val="24"/>
        </w:rPr>
        <w:t>202</w:t>
      </w:r>
      <w:r w:rsidR="00070183" w:rsidRPr="00661D65">
        <w:rPr>
          <w:rFonts w:ascii="Times New Roman" w:hAnsi="Times New Roman" w:cs="Times New Roman"/>
          <w:bCs/>
          <w:sz w:val="24"/>
          <w:szCs w:val="24"/>
        </w:rPr>
        <w:t>4 </w:t>
      </w:r>
      <w:r w:rsidR="00E575FC" w:rsidRPr="00661D65">
        <w:rPr>
          <w:rFonts w:ascii="Times New Roman" w:hAnsi="Times New Roman" w:cs="Times New Roman"/>
          <w:bCs/>
          <w:sz w:val="24"/>
          <w:szCs w:val="24"/>
        </w:rPr>
        <w:t xml:space="preserve">m. </w:t>
      </w:r>
      <w:r w:rsidR="00E02094" w:rsidRPr="00661D65">
        <w:rPr>
          <w:rFonts w:ascii="Times New Roman" w:hAnsi="Times New Roman" w:cs="Times New Roman"/>
          <w:bCs/>
          <w:sz w:val="24"/>
          <w:szCs w:val="24"/>
        </w:rPr>
        <w:t>a</w:t>
      </w:r>
      <w:r w:rsidR="00E02094" w:rsidRPr="00661D65">
        <w:rPr>
          <w:rFonts w:ascii="Times New Roman" w:hAnsi="Times New Roman" w:cs="Times New Roman"/>
          <w:bCs/>
          <w:iCs/>
          <w:sz w:val="24"/>
          <w:szCs w:val="24"/>
        </w:rPr>
        <w:t>ukšto veiklos rizikos lygio įstaigų ir įmonių patikrinimų dalis</w:t>
      </w:r>
      <w:r w:rsidR="005C5FEF" w:rsidRPr="00661D65">
        <w:rPr>
          <w:rFonts w:ascii="Times New Roman" w:hAnsi="Times New Roman" w:cs="Times New Roman"/>
          <w:bCs/>
          <w:iCs/>
          <w:sz w:val="24"/>
          <w:szCs w:val="24"/>
        </w:rPr>
        <w:t xml:space="preserve"> nepakito lyginant su 2023 m., </w:t>
      </w:r>
      <w:r w:rsidR="00CA7952" w:rsidRPr="00661D65">
        <w:rPr>
          <w:rFonts w:ascii="Times New Roman" w:hAnsi="Times New Roman" w:cs="Times New Roman"/>
          <w:bCs/>
          <w:iCs/>
          <w:sz w:val="24"/>
          <w:szCs w:val="24"/>
        </w:rPr>
        <w:t>vidutinio ir žemo rizikos lygio įstaigų ir įmonių patikrinimų</w:t>
      </w:r>
      <w:r w:rsidR="002948D0" w:rsidRPr="00661D65">
        <w:rPr>
          <w:rFonts w:ascii="Times New Roman" w:hAnsi="Times New Roman" w:cs="Times New Roman"/>
          <w:bCs/>
          <w:iCs/>
          <w:sz w:val="24"/>
          <w:szCs w:val="24"/>
        </w:rPr>
        <w:t xml:space="preserve"> dalis</w:t>
      </w:r>
      <w:r w:rsidR="0099111D">
        <w:rPr>
          <w:rFonts w:ascii="Times New Roman" w:hAnsi="Times New Roman" w:cs="Times New Roman"/>
          <w:bCs/>
          <w:iCs/>
          <w:sz w:val="24"/>
          <w:szCs w:val="24"/>
        </w:rPr>
        <w:t xml:space="preserve"> </w:t>
      </w:r>
      <w:r w:rsidR="0099111D" w:rsidRPr="00661D65">
        <w:rPr>
          <w:rFonts w:ascii="Times New Roman" w:hAnsi="Times New Roman" w:cs="Times New Roman"/>
          <w:bCs/>
          <w:iCs/>
          <w:sz w:val="24"/>
          <w:szCs w:val="24"/>
        </w:rPr>
        <w:t>sumažėjo</w:t>
      </w:r>
      <w:r w:rsidR="0099111D">
        <w:rPr>
          <w:rFonts w:ascii="Times New Roman" w:hAnsi="Times New Roman" w:cs="Times New Roman"/>
          <w:bCs/>
          <w:iCs/>
          <w:sz w:val="24"/>
          <w:szCs w:val="24"/>
        </w:rPr>
        <w:t xml:space="preserve">, tačiau patikrinta </w:t>
      </w:r>
      <w:r w:rsidR="0099111D">
        <w:rPr>
          <w:rFonts w:ascii="Times New Roman" w:hAnsi="Times New Roman" w:cs="Times New Roman"/>
          <w:bCs/>
          <w:sz w:val="24"/>
          <w:szCs w:val="24"/>
        </w:rPr>
        <w:t>2</w:t>
      </w:r>
      <w:r w:rsidR="0099111D" w:rsidRPr="0099111D">
        <w:rPr>
          <w:rFonts w:ascii="Times New Roman" w:hAnsi="Times New Roman" w:cs="Times New Roman"/>
          <w:bCs/>
          <w:sz w:val="24"/>
          <w:szCs w:val="24"/>
        </w:rPr>
        <w:t xml:space="preserve"> kartus daugiau ūkio subjektų, kurių rizikos lygis nebuvo vertinta</w:t>
      </w:r>
      <w:r w:rsidR="0099111D">
        <w:rPr>
          <w:rFonts w:ascii="Times New Roman" w:hAnsi="Times New Roman" w:cs="Times New Roman"/>
          <w:bCs/>
          <w:sz w:val="24"/>
          <w:szCs w:val="24"/>
        </w:rPr>
        <w:t xml:space="preserve">s. </w:t>
      </w:r>
    </w:p>
    <w:p w14:paraId="02B509A0" w14:textId="0CC75D93" w:rsidR="00DB2349" w:rsidRDefault="00DB2349" w:rsidP="00DB2349">
      <w:pPr>
        <w:spacing w:after="0" w:line="240" w:lineRule="auto"/>
        <w:ind w:firstLine="851"/>
        <w:jc w:val="both"/>
        <w:rPr>
          <w:rFonts w:ascii="Times New Roman" w:hAnsi="Times New Roman" w:cs="Times New Roman"/>
          <w:bCs/>
          <w:sz w:val="24"/>
          <w:szCs w:val="24"/>
        </w:rPr>
      </w:pPr>
      <w:r w:rsidRPr="00661D65">
        <w:rPr>
          <w:rFonts w:ascii="Times New Roman" w:hAnsi="Times New Roman" w:cs="Times New Roman"/>
          <w:bCs/>
          <w:sz w:val="24"/>
          <w:szCs w:val="24"/>
        </w:rPr>
        <w:t xml:space="preserve">5. </w:t>
      </w:r>
      <w:r w:rsidR="00B372DF" w:rsidRPr="00661D65">
        <w:rPr>
          <w:rFonts w:ascii="Times New Roman" w:hAnsi="Times New Roman" w:cs="Times New Roman"/>
          <w:bCs/>
          <w:iCs/>
          <w:sz w:val="24"/>
          <w:szCs w:val="24"/>
        </w:rPr>
        <w:t>202</w:t>
      </w:r>
      <w:r w:rsidR="00656366" w:rsidRPr="00661D65">
        <w:rPr>
          <w:rFonts w:ascii="Times New Roman" w:hAnsi="Times New Roman" w:cs="Times New Roman"/>
          <w:bCs/>
          <w:iCs/>
          <w:sz w:val="24"/>
          <w:szCs w:val="24"/>
        </w:rPr>
        <w:t>4 </w:t>
      </w:r>
      <w:r w:rsidR="00B372DF" w:rsidRPr="00661D65">
        <w:rPr>
          <w:rFonts w:ascii="Times New Roman" w:hAnsi="Times New Roman" w:cs="Times New Roman"/>
          <w:bCs/>
          <w:iCs/>
          <w:sz w:val="24"/>
          <w:szCs w:val="24"/>
        </w:rPr>
        <w:t>m. a</w:t>
      </w:r>
      <w:r w:rsidR="00FC4D2D" w:rsidRPr="00661D65">
        <w:rPr>
          <w:rFonts w:ascii="Times New Roman" w:hAnsi="Times New Roman" w:cs="Times New Roman"/>
          <w:bCs/>
          <w:iCs/>
          <w:sz w:val="24"/>
          <w:szCs w:val="24"/>
        </w:rPr>
        <w:t xml:space="preserve">tliekant kontrolės procedūras </w:t>
      </w:r>
      <w:r w:rsidR="000A6BB0" w:rsidRPr="00661D65">
        <w:rPr>
          <w:rFonts w:ascii="Times New Roman" w:hAnsi="Times New Roman" w:cs="Times New Roman"/>
          <w:bCs/>
          <w:iCs/>
          <w:sz w:val="24"/>
          <w:szCs w:val="24"/>
        </w:rPr>
        <w:t xml:space="preserve">kontroliniai klausimynai </w:t>
      </w:r>
      <w:r w:rsidR="00B761F2">
        <w:rPr>
          <w:rFonts w:ascii="Times New Roman" w:hAnsi="Times New Roman" w:cs="Times New Roman"/>
          <w:bCs/>
          <w:iCs/>
          <w:sz w:val="24"/>
          <w:szCs w:val="24"/>
        </w:rPr>
        <w:t xml:space="preserve">buvo naudoti </w:t>
      </w:r>
      <w:r w:rsidR="00137FCC" w:rsidRPr="00661D65">
        <w:rPr>
          <w:rFonts w:ascii="Times New Roman" w:hAnsi="Times New Roman" w:cs="Times New Roman"/>
          <w:bCs/>
          <w:iCs/>
          <w:sz w:val="24"/>
          <w:szCs w:val="24"/>
        </w:rPr>
        <w:t xml:space="preserve">165 kartus, o 2023 m. </w:t>
      </w:r>
      <w:r w:rsidR="00137FCC" w:rsidRPr="00137FCC">
        <w:rPr>
          <w:rFonts w:ascii="Times New Roman" w:hAnsi="Times New Roman" w:cs="Times New Roman"/>
          <w:bCs/>
          <w:iCs/>
          <w:sz w:val="24"/>
          <w:szCs w:val="24"/>
        </w:rPr>
        <w:t>– 141</w:t>
      </w:r>
      <w:r w:rsidR="00137FCC" w:rsidRPr="00661D65">
        <w:rPr>
          <w:rFonts w:ascii="Times New Roman" w:hAnsi="Times New Roman" w:cs="Times New Roman"/>
          <w:bCs/>
          <w:iCs/>
          <w:sz w:val="24"/>
          <w:szCs w:val="24"/>
        </w:rPr>
        <w:t>.</w:t>
      </w:r>
      <w:r w:rsidR="00D75105" w:rsidRPr="00DB2349">
        <w:rPr>
          <w:rFonts w:ascii="Times New Roman" w:hAnsi="Times New Roman" w:cs="Times New Roman"/>
          <w:bCs/>
          <w:iCs/>
          <w:sz w:val="24"/>
          <w:szCs w:val="24"/>
        </w:rPr>
        <w:t xml:space="preserve"> Kontroliniai </w:t>
      </w:r>
      <w:r w:rsidR="00D75105" w:rsidRPr="00661D65">
        <w:rPr>
          <w:rFonts w:ascii="Times New Roman" w:hAnsi="Times New Roman" w:cs="Times New Roman"/>
          <w:sz w:val="24"/>
          <w:szCs w:val="24"/>
        </w:rPr>
        <w:t xml:space="preserve">klausimynai kontrolės procedūrų metu naudojami bent 1 kartą per kalendorinius metus toje pačioje tikrinamoje gydymo įstaigoje ar vaistinėje. </w:t>
      </w:r>
    </w:p>
    <w:p w14:paraId="3929C51A" w14:textId="218FE6DE" w:rsidR="00D80800" w:rsidRDefault="00DB2349" w:rsidP="009B122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 </w:t>
      </w:r>
      <w:r w:rsidR="00883187" w:rsidRPr="00DB2349">
        <w:rPr>
          <w:rFonts w:ascii="Times New Roman" w:hAnsi="Times New Roman" w:cs="Times New Roman"/>
          <w:sz w:val="24"/>
          <w:szCs w:val="24"/>
        </w:rPr>
        <w:t xml:space="preserve">Siekiant formuoti bendrą patikrinimų metu nustatytų neatitikčių vertinimo praktiką, </w:t>
      </w:r>
      <w:r w:rsidR="009B1222" w:rsidRPr="009B1222">
        <w:rPr>
          <w:rFonts w:ascii="Times New Roman" w:hAnsi="Times New Roman" w:cs="Times New Roman"/>
          <w:sz w:val="24"/>
          <w:szCs w:val="24"/>
        </w:rPr>
        <w:t>visoms TLK buvo rekomenduojama 2024 m. organizuoti daugiau bendrų VLK ir TLK ekspertizių</w:t>
      </w:r>
      <w:r w:rsidR="00CE6118">
        <w:rPr>
          <w:rFonts w:ascii="Times New Roman" w:hAnsi="Times New Roman" w:cs="Times New Roman"/>
          <w:sz w:val="24"/>
          <w:szCs w:val="24"/>
        </w:rPr>
        <w:t>. N</w:t>
      </w:r>
      <w:r w:rsidR="009B1222" w:rsidRPr="00661D65">
        <w:rPr>
          <w:rFonts w:ascii="Times New Roman" w:hAnsi="Times New Roman" w:cs="Times New Roman"/>
          <w:sz w:val="24"/>
          <w:szCs w:val="24"/>
        </w:rPr>
        <w:t>e</w:t>
      </w:r>
      <w:r w:rsidR="009B1222" w:rsidRPr="009B1222">
        <w:rPr>
          <w:rFonts w:ascii="Times New Roman" w:hAnsi="Times New Roman" w:cs="Times New Roman"/>
          <w:sz w:val="24"/>
          <w:szCs w:val="24"/>
        </w:rPr>
        <w:t xml:space="preserve"> visos TLK organizavo bendras ekspertizes, arba bendrų </w:t>
      </w:r>
      <w:r w:rsidR="00D3715B" w:rsidRPr="00661D65">
        <w:rPr>
          <w:rFonts w:ascii="Times New Roman" w:hAnsi="Times New Roman" w:cs="Times New Roman"/>
          <w:sz w:val="24"/>
          <w:szCs w:val="24"/>
        </w:rPr>
        <w:t>ekspertizių</w:t>
      </w:r>
      <w:r w:rsidR="009B1222">
        <w:rPr>
          <w:rFonts w:ascii="Times New Roman" w:hAnsi="Times New Roman" w:cs="Times New Roman"/>
          <w:sz w:val="24"/>
          <w:szCs w:val="24"/>
        </w:rPr>
        <w:t>,</w:t>
      </w:r>
      <w:r w:rsidR="009B1222" w:rsidRPr="009B1222">
        <w:rPr>
          <w:rFonts w:ascii="Times New Roman" w:hAnsi="Times New Roman" w:cs="Times New Roman"/>
          <w:sz w:val="24"/>
          <w:szCs w:val="24"/>
        </w:rPr>
        <w:t xml:space="preserve"> lyginant su 2023 m.</w:t>
      </w:r>
      <w:r w:rsidR="009B1222">
        <w:rPr>
          <w:rFonts w:ascii="Times New Roman" w:hAnsi="Times New Roman" w:cs="Times New Roman"/>
          <w:sz w:val="24"/>
          <w:szCs w:val="24"/>
        </w:rPr>
        <w:t>,</w:t>
      </w:r>
      <w:r w:rsidR="009B1222" w:rsidRPr="009B1222">
        <w:rPr>
          <w:rFonts w:ascii="Times New Roman" w:hAnsi="Times New Roman" w:cs="Times New Roman"/>
          <w:sz w:val="24"/>
          <w:szCs w:val="24"/>
        </w:rPr>
        <w:t xml:space="preserve"> buvo mažiau</w:t>
      </w:r>
      <w:r w:rsidR="009B1222">
        <w:rPr>
          <w:rFonts w:ascii="Times New Roman" w:hAnsi="Times New Roman" w:cs="Times New Roman"/>
          <w:sz w:val="24"/>
          <w:szCs w:val="24"/>
        </w:rPr>
        <w:t xml:space="preserve"> nei 2024 m.</w:t>
      </w:r>
      <w:r w:rsidR="00030885">
        <w:rPr>
          <w:rFonts w:ascii="Times New Roman" w:hAnsi="Times New Roman" w:cs="Times New Roman"/>
          <w:sz w:val="24"/>
          <w:szCs w:val="24"/>
        </w:rPr>
        <w:t xml:space="preserve">, tačiau yra ir išimčių. </w:t>
      </w:r>
      <w:r w:rsidR="009B1222" w:rsidRPr="009B1222">
        <w:rPr>
          <w:rFonts w:ascii="Times New Roman" w:hAnsi="Times New Roman" w:cs="Times New Roman"/>
          <w:sz w:val="24"/>
          <w:szCs w:val="24"/>
        </w:rPr>
        <w:t xml:space="preserve">Iš viso 2024 m. buvo suorganizuota 11 bendrų ekspertizių, tai 4 mažiau nei 2023 m.: Vilniaus TLK 2024 m. suorganizavo 5 </w:t>
      </w:r>
      <w:r w:rsidR="009B1222" w:rsidRPr="00661D65">
        <w:rPr>
          <w:rFonts w:ascii="Times New Roman" w:hAnsi="Times New Roman" w:cs="Times New Roman"/>
          <w:sz w:val="24"/>
          <w:szCs w:val="24"/>
        </w:rPr>
        <w:t>bendr</w:t>
      </w:r>
      <w:r w:rsidR="00D3715B" w:rsidRPr="00661D65">
        <w:rPr>
          <w:rFonts w:ascii="Times New Roman" w:hAnsi="Times New Roman" w:cs="Times New Roman"/>
          <w:sz w:val="24"/>
          <w:szCs w:val="24"/>
        </w:rPr>
        <w:t>as ekspertizes</w:t>
      </w:r>
      <w:r w:rsidR="009B1222" w:rsidRPr="009B1222">
        <w:rPr>
          <w:rFonts w:ascii="Times New Roman" w:hAnsi="Times New Roman" w:cs="Times New Roman"/>
          <w:sz w:val="24"/>
          <w:szCs w:val="24"/>
        </w:rPr>
        <w:t xml:space="preserve">, tai 5 mažiau nei 2023 m., Klaipėda 2023 m. neorganizavo bendrų </w:t>
      </w:r>
      <w:r w:rsidR="00D3715B" w:rsidRPr="00661D65">
        <w:rPr>
          <w:rFonts w:ascii="Times New Roman" w:hAnsi="Times New Roman" w:cs="Times New Roman"/>
          <w:sz w:val="24"/>
          <w:szCs w:val="24"/>
        </w:rPr>
        <w:t>ekspertizių</w:t>
      </w:r>
      <w:r w:rsidR="009B1222" w:rsidRPr="009B1222">
        <w:rPr>
          <w:rFonts w:ascii="Times New Roman" w:hAnsi="Times New Roman" w:cs="Times New Roman"/>
          <w:sz w:val="24"/>
          <w:szCs w:val="24"/>
        </w:rPr>
        <w:t xml:space="preserve">, tačiau 2024 m. atliko 1 bendrą su VLK, Panevėžio TLK 2024 m. atliko 3 bendrus </w:t>
      </w:r>
      <w:r w:rsidR="00D3715B" w:rsidRPr="00661D65">
        <w:rPr>
          <w:rFonts w:ascii="Times New Roman" w:hAnsi="Times New Roman" w:cs="Times New Roman"/>
          <w:sz w:val="24"/>
          <w:szCs w:val="24"/>
        </w:rPr>
        <w:t>ekspertizes</w:t>
      </w:r>
      <w:r w:rsidR="009B1222" w:rsidRPr="009B1222">
        <w:rPr>
          <w:rFonts w:ascii="Times New Roman" w:hAnsi="Times New Roman" w:cs="Times New Roman"/>
          <w:sz w:val="24"/>
          <w:szCs w:val="24"/>
        </w:rPr>
        <w:t xml:space="preserve">, tai 1 daugiau nei 2023 m., o Šiaulių TLK 2024 m. atliko 2 bendrus </w:t>
      </w:r>
      <w:r w:rsidR="00D3715B" w:rsidRPr="00661D65">
        <w:rPr>
          <w:rFonts w:ascii="Times New Roman" w:hAnsi="Times New Roman" w:cs="Times New Roman"/>
          <w:sz w:val="24"/>
          <w:szCs w:val="24"/>
        </w:rPr>
        <w:t>ekspertizes</w:t>
      </w:r>
      <w:r w:rsidR="009B1222" w:rsidRPr="009B1222">
        <w:rPr>
          <w:rFonts w:ascii="Times New Roman" w:hAnsi="Times New Roman" w:cs="Times New Roman"/>
          <w:sz w:val="24"/>
          <w:szCs w:val="24"/>
        </w:rPr>
        <w:t>, tai 1 mažiau nei 2023 m.</w:t>
      </w:r>
      <w:r w:rsidR="009B1222">
        <w:rPr>
          <w:rFonts w:ascii="Times New Roman" w:hAnsi="Times New Roman" w:cs="Times New Roman"/>
          <w:sz w:val="24"/>
          <w:szCs w:val="24"/>
        </w:rPr>
        <w:t xml:space="preserve"> </w:t>
      </w:r>
      <w:r w:rsidR="009B1222" w:rsidRPr="009B1222">
        <w:rPr>
          <w:rFonts w:ascii="Times New Roman" w:hAnsi="Times New Roman" w:cs="Times New Roman"/>
          <w:sz w:val="24"/>
          <w:szCs w:val="24"/>
        </w:rPr>
        <w:t xml:space="preserve">Kauno TLK bendrų </w:t>
      </w:r>
      <w:r w:rsidR="00D3715B" w:rsidRPr="00661D65">
        <w:rPr>
          <w:rFonts w:ascii="Times New Roman" w:hAnsi="Times New Roman" w:cs="Times New Roman"/>
          <w:sz w:val="24"/>
          <w:szCs w:val="24"/>
        </w:rPr>
        <w:t>ekspertizių su VLK</w:t>
      </w:r>
      <w:r w:rsidR="009B1222" w:rsidRPr="009B1222">
        <w:rPr>
          <w:rFonts w:ascii="Times New Roman" w:hAnsi="Times New Roman" w:cs="Times New Roman"/>
          <w:sz w:val="24"/>
          <w:szCs w:val="24"/>
        </w:rPr>
        <w:t xml:space="preserve"> per 2 metus neinici</w:t>
      </w:r>
      <w:r w:rsidR="00C945F5">
        <w:rPr>
          <w:rFonts w:ascii="Times New Roman" w:hAnsi="Times New Roman" w:cs="Times New Roman"/>
          <w:sz w:val="24"/>
          <w:szCs w:val="24"/>
        </w:rPr>
        <w:t>j</w:t>
      </w:r>
      <w:r w:rsidR="009B1222" w:rsidRPr="009B1222">
        <w:rPr>
          <w:rFonts w:ascii="Times New Roman" w:hAnsi="Times New Roman" w:cs="Times New Roman"/>
          <w:sz w:val="24"/>
          <w:szCs w:val="24"/>
        </w:rPr>
        <w:t>avo</w:t>
      </w:r>
      <w:r w:rsidR="009B1222">
        <w:rPr>
          <w:rFonts w:ascii="Times New Roman" w:hAnsi="Times New Roman" w:cs="Times New Roman"/>
          <w:sz w:val="24"/>
          <w:szCs w:val="24"/>
        </w:rPr>
        <w:t xml:space="preserve">. </w:t>
      </w:r>
    </w:p>
    <w:p w14:paraId="1ECFC346" w14:textId="40940378" w:rsidR="002A09E3" w:rsidRPr="00DB2349" w:rsidRDefault="002A09E3" w:rsidP="00DB2349">
      <w:pPr>
        <w:spacing w:after="0" w:line="240" w:lineRule="auto"/>
        <w:ind w:firstLine="851"/>
        <w:jc w:val="both"/>
        <w:rPr>
          <w:rFonts w:ascii="Times New Roman" w:hAnsi="Times New Roman" w:cs="Times New Roman"/>
          <w:bCs/>
          <w:sz w:val="24"/>
          <w:szCs w:val="24"/>
        </w:rPr>
      </w:pPr>
      <w:r w:rsidRPr="0095484B">
        <w:rPr>
          <w:rFonts w:ascii="Times New Roman" w:hAnsi="Times New Roman" w:cs="Times New Roman"/>
          <w:sz w:val="24"/>
          <w:szCs w:val="24"/>
        </w:rPr>
        <w:t>Nuo</w:t>
      </w:r>
      <w:r w:rsidR="00DB2349">
        <w:rPr>
          <w:rFonts w:ascii="Times New Roman" w:hAnsi="Times New Roman" w:cs="Times New Roman"/>
          <w:sz w:val="24"/>
          <w:szCs w:val="24"/>
        </w:rPr>
        <w:t xml:space="preserve"> </w:t>
      </w:r>
      <w:r w:rsidRPr="00DB2349">
        <w:rPr>
          <w:rFonts w:ascii="Times New Roman" w:hAnsi="Times New Roman" w:cs="Times New Roman"/>
          <w:sz w:val="24"/>
          <w:szCs w:val="24"/>
        </w:rPr>
        <w:t xml:space="preserve">2025 m. liepos 1 d. įsigaliosiančiu Lietuvos Respublikos sveikatos draudimo įstatymo pakeitimams, panaikinamos TLK, o jų vykdomos funkcijos perduodamos VLK. Atsižvelgiant į tai, bus formuojama bendra patikrinimų metu nustatytų neatitikčių vertinimo </w:t>
      </w:r>
      <w:r w:rsidR="00D3715B" w:rsidRPr="00661D65">
        <w:rPr>
          <w:rFonts w:ascii="Times New Roman" w:hAnsi="Times New Roman" w:cs="Times New Roman"/>
          <w:sz w:val="24"/>
          <w:szCs w:val="24"/>
        </w:rPr>
        <w:t>(ekspertizių)</w:t>
      </w:r>
      <w:r w:rsidRPr="00661D65">
        <w:rPr>
          <w:rFonts w:ascii="Times New Roman" w:hAnsi="Times New Roman" w:cs="Times New Roman"/>
          <w:sz w:val="24"/>
          <w:szCs w:val="24"/>
        </w:rPr>
        <w:t xml:space="preserve"> </w:t>
      </w:r>
      <w:r w:rsidRPr="00DB2349">
        <w:rPr>
          <w:rFonts w:ascii="Times New Roman" w:hAnsi="Times New Roman" w:cs="Times New Roman"/>
          <w:sz w:val="24"/>
          <w:szCs w:val="24"/>
        </w:rPr>
        <w:t xml:space="preserve">praktika šalies mastu. </w:t>
      </w:r>
    </w:p>
    <w:p w14:paraId="56D31F74" w14:textId="77777777" w:rsidR="002A09E3" w:rsidRDefault="002A09E3" w:rsidP="00C54D27">
      <w:pPr>
        <w:tabs>
          <w:tab w:val="left" w:pos="709"/>
          <w:tab w:val="left" w:pos="851"/>
        </w:tabs>
        <w:spacing w:after="0" w:line="240" w:lineRule="auto"/>
        <w:jc w:val="center"/>
        <w:rPr>
          <w:rFonts w:ascii="Times New Roman" w:hAnsi="Times New Roman" w:cs="Times New Roman"/>
          <w:b/>
          <w:sz w:val="24"/>
          <w:szCs w:val="24"/>
        </w:rPr>
      </w:pPr>
    </w:p>
    <w:p w14:paraId="0A35B94B" w14:textId="1618F747" w:rsidR="0034514A" w:rsidRPr="00157C0B" w:rsidRDefault="0034514A" w:rsidP="00656366">
      <w:pPr>
        <w:spacing w:after="0" w:line="240" w:lineRule="auto"/>
        <w:ind w:firstLine="851"/>
        <w:rPr>
          <w:rFonts w:ascii="Times New Roman" w:hAnsi="Times New Roman" w:cs="Times New Roman"/>
          <w:bCs/>
          <w:sz w:val="24"/>
          <w:szCs w:val="24"/>
        </w:rPr>
      </w:pPr>
      <w:r w:rsidRPr="00157C0B">
        <w:rPr>
          <w:rFonts w:ascii="Times New Roman" w:hAnsi="Times New Roman" w:cs="Times New Roman"/>
          <w:b/>
          <w:sz w:val="24"/>
          <w:szCs w:val="24"/>
        </w:rPr>
        <w:t>Įstaigų ir įmonių veiklos priežiūros tobulinimo rekomendacijos, skirtos VLK</w:t>
      </w:r>
    </w:p>
    <w:p w14:paraId="31B32E2E" w14:textId="3C546800" w:rsidR="00D260D8" w:rsidRPr="00661D65" w:rsidRDefault="00D260D8" w:rsidP="00B25CF2">
      <w:pPr>
        <w:pStyle w:val="Sraopastraipa"/>
        <w:tabs>
          <w:tab w:val="left" w:pos="709"/>
          <w:tab w:val="left" w:pos="993"/>
          <w:tab w:val="left" w:pos="1276"/>
          <w:tab w:val="left" w:pos="3402"/>
        </w:tabs>
        <w:spacing w:after="0" w:line="240" w:lineRule="auto"/>
        <w:ind w:left="0" w:firstLine="851"/>
        <w:jc w:val="both"/>
        <w:rPr>
          <w:rFonts w:ascii="Times New Roman" w:hAnsi="Times New Roman" w:cs="Times New Roman"/>
          <w:sz w:val="24"/>
          <w:szCs w:val="24"/>
        </w:rPr>
      </w:pPr>
      <w:r w:rsidRPr="00661D65">
        <w:rPr>
          <w:rFonts w:ascii="Times New Roman" w:hAnsi="Times New Roman" w:cs="Times New Roman"/>
          <w:sz w:val="24"/>
          <w:szCs w:val="24"/>
        </w:rPr>
        <w:t xml:space="preserve">Parengti Aprašo pakeitimo projektą ir iki 2025 m. liepos 1 d. pateikti VLK direktoriui pasirašymui. </w:t>
      </w:r>
    </w:p>
    <w:p w14:paraId="6D17B4C2" w14:textId="77777777" w:rsidR="00E531CC" w:rsidRPr="00661D65" w:rsidRDefault="00E531CC" w:rsidP="00E531CC">
      <w:pPr>
        <w:tabs>
          <w:tab w:val="left" w:pos="709"/>
          <w:tab w:val="left" w:pos="993"/>
          <w:tab w:val="left" w:pos="3402"/>
        </w:tabs>
        <w:spacing w:after="0" w:line="240" w:lineRule="auto"/>
        <w:jc w:val="both"/>
        <w:rPr>
          <w:rFonts w:ascii="Times New Roman" w:hAnsi="Times New Roman" w:cs="Times New Roman"/>
          <w:color w:val="000000"/>
          <w:sz w:val="24"/>
          <w:szCs w:val="24"/>
        </w:rPr>
      </w:pPr>
    </w:p>
    <w:p w14:paraId="7E505EE1" w14:textId="648CD522" w:rsidR="00DF559D" w:rsidRPr="00157C0B" w:rsidRDefault="00DF559D" w:rsidP="00656366">
      <w:pPr>
        <w:spacing w:after="0" w:line="240" w:lineRule="auto"/>
        <w:ind w:firstLine="851"/>
        <w:rPr>
          <w:rFonts w:ascii="Times New Roman" w:hAnsi="Times New Roman" w:cs="Times New Roman"/>
          <w:bCs/>
          <w:sz w:val="24"/>
          <w:szCs w:val="24"/>
        </w:rPr>
      </w:pPr>
      <w:r w:rsidRPr="00157C0B">
        <w:rPr>
          <w:rFonts w:ascii="Times New Roman" w:hAnsi="Times New Roman" w:cs="Times New Roman"/>
          <w:b/>
          <w:bCs/>
          <w:sz w:val="24"/>
          <w:szCs w:val="24"/>
        </w:rPr>
        <w:t>Įstaigų ir įmonių veiklos priežiūros tobulinimo rekomendacijos, skirtos TLK</w:t>
      </w:r>
    </w:p>
    <w:p w14:paraId="487A966C" w14:textId="1F9CA24C" w:rsidR="00D260D8" w:rsidRPr="002B4393" w:rsidRDefault="00B25CF2" w:rsidP="005074AB">
      <w:pPr>
        <w:tabs>
          <w:tab w:val="left" w:pos="1134"/>
          <w:tab w:val="left" w:pos="1276"/>
        </w:tabs>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Iki 2025 m. gegužės 1 d.</w:t>
      </w:r>
      <w:r w:rsidRPr="00661D65">
        <w:rPr>
          <w:rFonts w:ascii="Times New Roman" w:hAnsi="Times New Roman" w:cs="Times New Roman"/>
          <w:bCs/>
          <w:sz w:val="24"/>
          <w:szCs w:val="24"/>
        </w:rPr>
        <w:t xml:space="preserve"> </w:t>
      </w:r>
      <w:r>
        <w:rPr>
          <w:rFonts w:ascii="Times New Roman" w:hAnsi="Times New Roman" w:cs="Times New Roman"/>
          <w:bCs/>
          <w:sz w:val="24"/>
          <w:szCs w:val="24"/>
        </w:rPr>
        <w:t>t</w:t>
      </w:r>
      <w:r w:rsidR="00D260D8" w:rsidRPr="002B4393">
        <w:rPr>
          <w:rFonts w:ascii="Times New Roman" w:hAnsi="Times New Roman" w:cs="Times New Roman"/>
          <w:bCs/>
          <w:sz w:val="24"/>
          <w:szCs w:val="24"/>
        </w:rPr>
        <w:t xml:space="preserve">eikti siūlymus </w:t>
      </w:r>
      <w:r w:rsidR="00D260D8">
        <w:rPr>
          <w:rFonts w:ascii="Times New Roman" w:hAnsi="Times New Roman" w:cs="Times New Roman"/>
          <w:bCs/>
          <w:sz w:val="24"/>
          <w:szCs w:val="24"/>
        </w:rPr>
        <w:t xml:space="preserve">VLK </w:t>
      </w:r>
      <w:r w:rsidR="004438D3" w:rsidRPr="004438D3">
        <w:rPr>
          <w:rFonts w:ascii="Times New Roman" w:hAnsi="Times New Roman" w:cs="Times New Roman"/>
          <w:bCs/>
          <w:sz w:val="24"/>
          <w:szCs w:val="24"/>
        </w:rPr>
        <w:t>Paslaugų kompensavimo skyriu</w:t>
      </w:r>
      <w:r w:rsidR="004438D3">
        <w:rPr>
          <w:rFonts w:ascii="Times New Roman" w:hAnsi="Times New Roman" w:cs="Times New Roman"/>
          <w:bCs/>
          <w:sz w:val="24"/>
          <w:szCs w:val="24"/>
        </w:rPr>
        <w:t xml:space="preserve">i </w:t>
      </w:r>
      <w:r w:rsidR="00D260D8">
        <w:rPr>
          <w:rFonts w:ascii="Times New Roman" w:hAnsi="Times New Roman" w:cs="Times New Roman"/>
          <w:bCs/>
          <w:sz w:val="24"/>
          <w:szCs w:val="24"/>
        </w:rPr>
        <w:t xml:space="preserve">dėl Aprašo nuostatų pakeitimo. </w:t>
      </w:r>
    </w:p>
    <w:p w14:paraId="01EEEC65" w14:textId="77777777" w:rsidR="001A73A9" w:rsidRPr="00157C0B" w:rsidRDefault="001A73A9" w:rsidP="00D84309">
      <w:pPr>
        <w:tabs>
          <w:tab w:val="left" w:pos="851"/>
        </w:tabs>
        <w:spacing w:after="0" w:line="240" w:lineRule="auto"/>
        <w:jc w:val="both"/>
        <w:rPr>
          <w:rFonts w:ascii="Times New Roman" w:hAnsi="Times New Roman" w:cs="Times New Roman"/>
          <w:bCs/>
          <w:sz w:val="24"/>
          <w:szCs w:val="24"/>
        </w:rPr>
      </w:pPr>
    </w:p>
    <w:p w14:paraId="14009F34" w14:textId="77777777" w:rsidR="001A73A9" w:rsidRPr="00157C0B" w:rsidRDefault="001A73A9" w:rsidP="00D84309">
      <w:pPr>
        <w:tabs>
          <w:tab w:val="left" w:pos="851"/>
        </w:tabs>
        <w:spacing w:after="0" w:line="240" w:lineRule="auto"/>
        <w:jc w:val="both"/>
        <w:rPr>
          <w:rFonts w:ascii="Times New Roman" w:hAnsi="Times New Roman" w:cs="Times New Roman"/>
          <w:bCs/>
          <w:sz w:val="24"/>
          <w:szCs w:val="24"/>
        </w:rPr>
      </w:pPr>
    </w:p>
    <w:p w14:paraId="45814CD4" w14:textId="77777777" w:rsidR="001A73A9" w:rsidRPr="00157C0B" w:rsidRDefault="001A73A9" w:rsidP="00D84309">
      <w:pPr>
        <w:tabs>
          <w:tab w:val="left" w:pos="851"/>
        </w:tabs>
        <w:spacing w:after="0" w:line="240" w:lineRule="auto"/>
        <w:jc w:val="both"/>
        <w:rPr>
          <w:rFonts w:ascii="Times New Roman" w:hAnsi="Times New Roman" w:cs="Times New Roman"/>
          <w:bCs/>
          <w:sz w:val="24"/>
          <w:szCs w:val="24"/>
        </w:rPr>
      </w:pPr>
    </w:p>
    <w:p w14:paraId="31BCF5BC" w14:textId="1BF12D28" w:rsidR="00E217ED" w:rsidRPr="00157C0B" w:rsidRDefault="00905ED9" w:rsidP="0055698D">
      <w:pPr>
        <w:tabs>
          <w:tab w:val="left" w:pos="851"/>
          <w:tab w:val="left" w:pos="7655"/>
        </w:tabs>
        <w:spacing w:after="0" w:line="240" w:lineRule="auto"/>
        <w:jc w:val="both"/>
        <w:rPr>
          <w:rFonts w:ascii="Times New Roman" w:hAnsi="Times New Roman" w:cs="Times New Roman"/>
          <w:bCs/>
          <w:sz w:val="24"/>
          <w:szCs w:val="24"/>
        </w:rPr>
      </w:pPr>
      <w:r w:rsidRPr="00157C0B">
        <w:rPr>
          <w:rFonts w:ascii="Times New Roman" w:hAnsi="Times New Roman" w:cs="Times New Roman"/>
          <w:bCs/>
          <w:sz w:val="24"/>
          <w:szCs w:val="24"/>
        </w:rPr>
        <w:t xml:space="preserve">Direktoriaus pavaduotoja </w:t>
      </w:r>
      <w:r w:rsidR="0046628C">
        <w:rPr>
          <w:rFonts w:ascii="Times New Roman" w:hAnsi="Times New Roman" w:cs="Times New Roman"/>
          <w:bCs/>
          <w:sz w:val="24"/>
          <w:szCs w:val="24"/>
        </w:rPr>
        <w:tab/>
        <w:t xml:space="preserve"> </w:t>
      </w:r>
      <w:r w:rsidRPr="00157C0B">
        <w:rPr>
          <w:rFonts w:ascii="Times New Roman" w:hAnsi="Times New Roman" w:cs="Times New Roman"/>
          <w:bCs/>
          <w:sz w:val="24"/>
          <w:szCs w:val="24"/>
        </w:rPr>
        <w:t>Tatjana Golubajeva</w:t>
      </w:r>
    </w:p>
    <w:p w14:paraId="392BFFA5" w14:textId="77777777" w:rsidR="00EE4CAB" w:rsidRPr="00157C0B" w:rsidRDefault="00EE4CAB" w:rsidP="00D84309">
      <w:pPr>
        <w:tabs>
          <w:tab w:val="left" w:pos="851"/>
        </w:tabs>
        <w:spacing w:after="0" w:line="240" w:lineRule="auto"/>
        <w:jc w:val="both"/>
        <w:rPr>
          <w:rFonts w:ascii="Times New Roman" w:hAnsi="Times New Roman" w:cs="Times New Roman"/>
          <w:bCs/>
          <w:sz w:val="24"/>
          <w:szCs w:val="24"/>
        </w:rPr>
      </w:pPr>
    </w:p>
    <w:p w14:paraId="565DAAE2" w14:textId="77777777" w:rsidR="001A73A9" w:rsidRPr="00157C0B" w:rsidRDefault="001A73A9" w:rsidP="00E217ED">
      <w:pPr>
        <w:tabs>
          <w:tab w:val="left" w:pos="851"/>
        </w:tabs>
        <w:spacing w:after="0" w:line="240" w:lineRule="auto"/>
        <w:jc w:val="both"/>
        <w:rPr>
          <w:rFonts w:ascii="Times New Roman" w:hAnsi="Times New Roman" w:cs="Times New Roman"/>
          <w:bCs/>
          <w:sz w:val="24"/>
          <w:szCs w:val="24"/>
        </w:rPr>
      </w:pPr>
    </w:p>
    <w:p w14:paraId="16083A35" w14:textId="77777777" w:rsidR="001A73A9" w:rsidRPr="00157C0B" w:rsidRDefault="001A73A9" w:rsidP="00E217ED">
      <w:pPr>
        <w:tabs>
          <w:tab w:val="left" w:pos="851"/>
        </w:tabs>
        <w:spacing w:after="0" w:line="240" w:lineRule="auto"/>
        <w:jc w:val="both"/>
        <w:rPr>
          <w:rFonts w:ascii="Times New Roman" w:hAnsi="Times New Roman" w:cs="Times New Roman"/>
          <w:bCs/>
          <w:sz w:val="24"/>
          <w:szCs w:val="24"/>
        </w:rPr>
      </w:pPr>
    </w:p>
    <w:p w14:paraId="3E898751" w14:textId="77777777" w:rsidR="001A73A9" w:rsidRPr="00157C0B" w:rsidRDefault="001A73A9" w:rsidP="00E217ED">
      <w:pPr>
        <w:tabs>
          <w:tab w:val="left" w:pos="851"/>
        </w:tabs>
        <w:spacing w:after="0" w:line="240" w:lineRule="auto"/>
        <w:jc w:val="both"/>
        <w:rPr>
          <w:rFonts w:ascii="Times New Roman" w:hAnsi="Times New Roman" w:cs="Times New Roman"/>
          <w:bCs/>
          <w:sz w:val="24"/>
          <w:szCs w:val="24"/>
        </w:rPr>
      </w:pPr>
    </w:p>
    <w:p w14:paraId="4D4D20FA" w14:textId="27AC0A92" w:rsidR="00B372DF" w:rsidRPr="00157C0B" w:rsidRDefault="002A2CCD" w:rsidP="00B372DF">
      <w:pPr>
        <w:tabs>
          <w:tab w:val="left" w:pos="851"/>
        </w:tabs>
        <w:spacing w:after="0" w:line="240" w:lineRule="auto"/>
        <w:jc w:val="both"/>
        <w:rPr>
          <w:rFonts w:ascii="Times New Roman" w:hAnsi="Times New Roman" w:cs="Times New Roman"/>
          <w:bCs/>
          <w:sz w:val="24"/>
          <w:szCs w:val="24"/>
        </w:rPr>
      </w:pPr>
      <w:r w:rsidRPr="00157C0B">
        <w:rPr>
          <w:rFonts w:ascii="Times New Roman" w:hAnsi="Times New Roman" w:cs="Times New Roman"/>
          <w:bCs/>
          <w:sz w:val="24"/>
          <w:szCs w:val="24"/>
        </w:rPr>
        <w:t>N</w:t>
      </w:r>
      <w:r w:rsidR="002E0213" w:rsidRPr="00157C0B">
        <w:rPr>
          <w:rFonts w:ascii="Times New Roman" w:hAnsi="Times New Roman" w:cs="Times New Roman"/>
          <w:bCs/>
          <w:sz w:val="24"/>
          <w:szCs w:val="24"/>
        </w:rPr>
        <w:t xml:space="preserve">ijolė Bijanskienė, tel. </w:t>
      </w:r>
      <w:r w:rsidR="00202856" w:rsidRPr="00157C0B">
        <w:rPr>
          <w:rFonts w:ascii="Times New Roman" w:hAnsi="Times New Roman" w:cs="Times New Roman"/>
          <w:bCs/>
          <w:sz w:val="24"/>
          <w:szCs w:val="24"/>
        </w:rPr>
        <w:t xml:space="preserve">+370 5 </w:t>
      </w:r>
      <w:r w:rsidR="002E0213" w:rsidRPr="00157C0B">
        <w:rPr>
          <w:rFonts w:ascii="Times New Roman" w:hAnsi="Times New Roman" w:cs="Times New Roman"/>
          <w:bCs/>
          <w:sz w:val="24"/>
          <w:szCs w:val="24"/>
        </w:rPr>
        <w:t>237 0703, e</w:t>
      </w:r>
      <w:r w:rsidR="00C140DC" w:rsidRPr="00157C0B">
        <w:rPr>
          <w:rFonts w:ascii="Times New Roman" w:hAnsi="Times New Roman" w:cs="Times New Roman"/>
          <w:bCs/>
          <w:sz w:val="24"/>
          <w:szCs w:val="24"/>
        </w:rPr>
        <w:t>l</w:t>
      </w:r>
      <w:r w:rsidR="002E0213" w:rsidRPr="00157C0B">
        <w:rPr>
          <w:rFonts w:ascii="Times New Roman" w:hAnsi="Times New Roman" w:cs="Times New Roman"/>
          <w:bCs/>
          <w:sz w:val="24"/>
          <w:szCs w:val="24"/>
        </w:rPr>
        <w:t>. p. nijole.bijanskiene@vlk.lt</w:t>
      </w:r>
      <w:r w:rsidR="00B372DF" w:rsidRPr="00157C0B">
        <w:rPr>
          <w:rFonts w:ascii="Times New Roman" w:hAnsi="Times New Roman" w:cs="Times New Roman"/>
          <w:bCs/>
          <w:sz w:val="24"/>
          <w:szCs w:val="24"/>
        </w:rPr>
        <w:t xml:space="preserve"> </w:t>
      </w:r>
    </w:p>
    <w:p w14:paraId="5D481D45" w14:textId="350363C3" w:rsidR="00157C0B" w:rsidRPr="00157C0B" w:rsidRDefault="00157C0B" w:rsidP="00B372DF">
      <w:pPr>
        <w:tabs>
          <w:tab w:val="left" w:pos="851"/>
        </w:tabs>
        <w:spacing w:after="0" w:line="240" w:lineRule="auto"/>
        <w:jc w:val="both"/>
        <w:rPr>
          <w:rFonts w:ascii="Times New Roman" w:hAnsi="Times New Roman" w:cs="Times New Roman"/>
          <w:bCs/>
          <w:sz w:val="24"/>
          <w:szCs w:val="24"/>
        </w:rPr>
      </w:pPr>
      <w:r w:rsidRPr="00157C0B">
        <w:rPr>
          <w:rFonts w:ascii="Times New Roman" w:hAnsi="Times New Roman" w:cs="Times New Roman"/>
          <w:bCs/>
          <w:sz w:val="24"/>
          <w:szCs w:val="24"/>
        </w:rPr>
        <w:t>Gediminas Toleikis, tel. +370 5 237 0721, el. p. gediminas.toleikis@vlk.lt</w:t>
      </w:r>
    </w:p>
    <w:p w14:paraId="760A63B6" w14:textId="45B6D885" w:rsidR="00B372DF" w:rsidRPr="00157C0B" w:rsidRDefault="00B372DF" w:rsidP="00FA22E3">
      <w:pPr>
        <w:tabs>
          <w:tab w:val="left" w:pos="6030"/>
        </w:tabs>
        <w:rPr>
          <w:rFonts w:ascii="Times New Roman" w:hAnsi="Times New Roman" w:cs="Times New Roman"/>
          <w:sz w:val="24"/>
          <w:szCs w:val="24"/>
        </w:rPr>
      </w:pPr>
      <w:r w:rsidRPr="00157C0B">
        <w:rPr>
          <w:rFonts w:ascii="Times New Roman" w:hAnsi="Times New Roman" w:cs="Times New Roman"/>
          <w:bCs/>
          <w:sz w:val="24"/>
          <w:szCs w:val="24"/>
        </w:rPr>
        <w:t xml:space="preserve">Rasa Savičiūtė, tel. </w:t>
      </w:r>
      <w:r w:rsidR="00202856" w:rsidRPr="00157C0B">
        <w:rPr>
          <w:rFonts w:ascii="Times New Roman" w:hAnsi="Times New Roman" w:cs="Times New Roman"/>
          <w:bCs/>
          <w:sz w:val="24"/>
          <w:szCs w:val="24"/>
        </w:rPr>
        <w:t xml:space="preserve">+370 5 </w:t>
      </w:r>
      <w:r w:rsidRPr="00157C0B">
        <w:rPr>
          <w:rFonts w:ascii="Times New Roman" w:hAnsi="Times New Roman" w:cs="Times New Roman"/>
          <w:bCs/>
          <w:sz w:val="24"/>
          <w:szCs w:val="24"/>
        </w:rPr>
        <w:t>236 4147, el. p. rasa.saviciute@vlk.lt</w:t>
      </w:r>
    </w:p>
    <w:sectPr w:rsidR="00B372DF" w:rsidRPr="00157C0B" w:rsidSect="00A047B5">
      <w:headerReference w:type="default" r:id="rId22"/>
      <w:pgSz w:w="11906" w:h="16838"/>
      <w:pgMar w:top="1276"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85E3" w14:textId="77777777" w:rsidR="0065288B" w:rsidRDefault="0065288B" w:rsidP="00110500">
      <w:pPr>
        <w:spacing w:after="0" w:line="240" w:lineRule="auto"/>
      </w:pPr>
      <w:r>
        <w:separator/>
      </w:r>
    </w:p>
  </w:endnote>
  <w:endnote w:type="continuationSeparator" w:id="0">
    <w:p w14:paraId="142CE2C7" w14:textId="77777777" w:rsidR="0065288B" w:rsidRDefault="0065288B" w:rsidP="00110500">
      <w:pPr>
        <w:spacing w:after="0" w:line="240" w:lineRule="auto"/>
      </w:pPr>
      <w:r>
        <w:continuationSeparator/>
      </w:r>
    </w:p>
  </w:endnote>
  <w:endnote w:type="continuationNotice" w:id="1">
    <w:p w14:paraId="608944B6" w14:textId="77777777" w:rsidR="0065288B" w:rsidRDefault="00652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B506B" w14:textId="77777777" w:rsidR="0065288B" w:rsidRDefault="0065288B" w:rsidP="00110500">
      <w:pPr>
        <w:spacing w:after="0" w:line="240" w:lineRule="auto"/>
      </w:pPr>
      <w:r>
        <w:separator/>
      </w:r>
    </w:p>
  </w:footnote>
  <w:footnote w:type="continuationSeparator" w:id="0">
    <w:p w14:paraId="791AEBF2" w14:textId="77777777" w:rsidR="0065288B" w:rsidRDefault="0065288B" w:rsidP="00110500">
      <w:pPr>
        <w:spacing w:after="0" w:line="240" w:lineRule="auto"/>
      </w:pPr>
      <w:r>
        <w:continuationSeparator/>
      </w:r>
    </w:p>
  </w:footnote>
  <w:footnote w:type="continuationNotice" w:id="1">
    <w:p w14:paraId="16BC0721" w14:textId="77777777" w:rsidR="0065288B" w:rsidRDefault="0065288B">
      <w:pPr>
        <w:spacing w:after="0" w:line="240" w:lineRule="auto"/>
      </w:pPr>
    </w:p>
  </w:footnote>
  <w:footnote w:id="2">
    <w:p w14:paraId="6BE40770" w14:textId="3385940A" w:rsidR="00EA5475" w:rsidRPr="0055698D" w:rsidRDefault="00EA5475" w:rsidP="00EA5475">
      <w:pPr>
        <w:pStyle w:val="Puslapioinaostekstas"/>
        <w:rPr>
          <w:rFonts w:ascii="Times New Roman" w:hAnsi="Times New Roman" w:cs="Times New Roman"/>
        </w:rPr>
      </w:pPr>
      <w:r w:rsidRPr="0055698D">
        <w:rPr>
          <w:rStyle w:val="Puslapioinaosnuoroda"/>
          <w:rFonts w:ascii="Times New Roman" w:hAnsi="Times New Roman" w:cs="Times New Roman"/>
        </w:rPr>
        <w:footnoteRef/>
      </w:r>
      <w:r w:rsidRPr="0055698D">
        <w:rPr>
          <w:rFonts w:ascii="Times New Roman" w:hAnsi="Times New Roman" w:cs="Times New Roman"/>
        </w:rPr>
        <w:t xml:space="preserve"> </w:t>
      </w:r>
      <w:r>
        <w:rPr>
          <w:rFonts w:ascii="Times New Roman" w:hAnsi="Times New Roman" w:cs="Times New Roman"/>
        </w:rPr>
        <w:t>Prieiga per internetą</w:t>
      </w:r>
      <w:r w:rsidRPr="0055698D">
        <w:rPr>
          <w:rFonts w:ascii="Times New Roman" w:hAnsi="Times New Roman" w:cs="Times New Roman"/>
        </w:rPr>
        <w:t xml:space="preserve"> – </w:t>
      </w:r>
      <w:hyperlink r:id="rId1" w:history="1">
        <w:r w:rsidRPr="0055698D">
          <w:rPr>
            <w:rStyle w:val="Hipersaitas"/>
            <w:rFonts w:ascii="Times New Roman" w:hAnsi="Times New Roman" w:cs="Times New Roman"/>
          </w:rPr>
          <w:t>https://forms.office.com/Pages/ResponsePage.aspx?id=Ne7mBxRokEeGaYB2dpTCjaz_pMrz-KNEn8HewDM9E1pUMVVISFpTR0IzWjZRQzcwWUJaQ0g0RFVBSC4u</w:t>
        </w:r>
      </w:hyperlink>
      <w:r w:rsidRPr="0055698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03106435"/>
      <w:docPartObj>
        <w:docPartGallery w:val="Page Numbers (Top of Page)"/>
        <w:docPartUnique/>
      </w:docPartObj>
    </w:sdtPr>
    <w:sdtContent>
      <w:p w14:paraId="1D5F14FD" w14:textId="77777777" w:rsidR="00142E9B" w:rsidRPr="00345F00" w:rsidRDefault="00142E9B">
        <w:pPr>
          <w:pStyle w:val="Antrats"/>
          <w:jc w:val="center"/>
          <w:rPr>
            <w:rFonts w:ascii="Times New Roman" w:hAnsi="Times New Roman" w:cs="Times New Roman"/>
            <w:sz w:val="24"/>
            <w:szCs w:val="24"/>
          </w:rPr>
        </w:pPr>
        <w:r w:rsidRPr="00345F00">
          <w:rPr>
            <w:rFonts w:ascii="Times New Roman" w:hAnsi="Times New Roman" w:cs="Times New Roman"/>
            <w:sz w:val="24"/>
            <w:szCs w:val="24"/>
          </w:rPr>
          <w:fldChar w:fldCharType="begin"/>
        </w:r>
        <w:r w:rsidRPr="00345F00">
          <w:rPr>
            <w:rFonts w:ascii="Times New Roman" w:hAnsi="Times New Roman" w:cs="Times New Roman"/>
            <w:sz w:val="24"/>
            <w:szCs w:val="24"/>
          </w:rPr>
          <w:instrText>PAGE   \* MERGEFORMAT</w:instrText>
        </w:r>
        <w:r w:rsidRPr="00345F00">
          <w:rPr>
            <w:rFonts w:ascii="Times New Roman" w:hAnsi="Times New Roman" w:cs="Times New Roman"/>
            <w:sz w:val="24"/>
            <w:szCs w:val="24"/>
          </w:rPr>
          <w:fldChar w:fldCharType="separate"/>
        </w:r>
        <w:r w:rsidRPr="00345F00">
          <w:rPr>
            <w:rFonts w:ascii="Times New Roman" w:hAnsi="Times New Roman" w:cs="Times New Roman"/>
            <w:sz w:val="24"/>
            <w:szCs w:val="24"/>
          </w:rPr>
          <w:t>2</w:t>
        </w:r>
        <w:r w:rsidRPr="00345F00">
          <w:rPr>
            <w:rFonts w:ascii="Times New Roman" w:hAnsi="Times New Roman" w:cs="Times New Roman"/>
            <w:sz w:val="24"/>
            <w:szCs w:val="24"/>
          </w:rPr>
          <w:fldChar w:fldCharType="end"/>
        </w:r>
      </w:p>
    </w:sdtContent>
  </w:sdt>
  <w:p w14:paraId="63B4FEAE" w14:textId="77777777" w:rsidR="00142E9B" w:rsidRPr="00345F00" w:rsidRDefault="00142E9B">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1B3"/>
    <w:multiLevelType w:val="hybridMultilevel"/>
    <w:tmpl w:val="E80E24C0"/>
    <w:lvl w:ilvl="0" w:tplc="DC80D3E8">
      <w:start w:val="6"/>
      <w:numFmt w:val="decimal"/>
      <w:lvlText w:val="%1"/>
      <w:lvlJc w:val="left"/>
      <w:pPr>
        <w:ind w:left="1065" w:hanging="705"/>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A23368"/>
    <w:multiLevelType w:val="hybridMultilevel"/>
    <w:tmpl w:val="9D24EB9C"/>
    <w:lvl w:ilvl="0" w:tplc="5A5E3D84">
      <w:start w:val="1"/>
      <w:numFmt w:val="decimal"/>
      <w:lvlText w:val="%1."/>
      <w:lvlJc w:val="left"/>
      <w:pPr>
        <w:ind w:left="1070" w:hanging="360"/>
      </w:pPr>
      <w:rPr>
        <w:rFonts w:ascii="Times New Roman" w:hAnsi="Times New Roman" w:cs="Times New Roman" w:hint="default"/>
        <w:sz w:val="24"/>
        <w:szCs w:val="24"/>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A9C2B6B"/>
    <w:multiLevelType w:val="hybridMultilevel"/>
    <w:tmpl w:val="919A6CDE"/>
    <w:lvl w:ilvl="0" w:tplc="72B861C6">
      <w:start w:val="5"/>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C5F39D7"/>
    <w:multiLevelType w:val="hybridMultilevel"/>
    <w:tmpl w:val="0E44BC26"/>
    <w:lvl w:ilvl="0" w:tplc="7E785AA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90248"/>
    <w:multiLevelType w:val="hybridMultilevel"/>
    <w:tmpl w:val="8E722D96"/>
    <w:lvl w:ilvl="0" w:tplc="A440A6EE">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C092AD5"/>
    <w:multiLevelType w:val="multilevel"/>
    <w:tmpl w:val="90AC7D80"/>
    <w:lvl w:ilvl="0">
      <w:start w:val="1"/>
      <w:numFmt w:val="decimal"/>
      <w:lvlText w:val="%1."/>
      <w:lvlJc w:val="left"/>
      <w:pPr>
        <w:ind w:left="1070" w:hanging="360"/>
      </w:pPr>
      <w:rPr>
        <w:rFonts w:hint="default"/>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6" w15:restartNumberingAfterBreak="0">
    <w:nsid w:val="1D8B1D3C"/>
    <w:multiLevelType w:val="hybridMultilevel"/>
    <w:tmpl w:val="1F3EEC5E"/>
    <w:lvl w:ilvl="0" w:tplc="6CD83318">
      <w:start w:val="1"/>
      <w:numFmt w:val="decimal"/>
      <w:lvlText w:val="%1."/>
      <w:lvlJc w:val="left"/>
      <w:pPr>
        <w:ind w:left="1211" w:hanging="360"/>
      </w:pPr>
      <w:rPr>
        <w:rFonts w:ascii="Times New Roman" w:hAnsi="Times New Roman" w:cs="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8D64909"/>
    <w:multiLevelType w:val="hybridMultilevel"/>
    <w:tmpl w:val="B35090E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0B3797"/>
    <w:multiLevelType w:val="hybridMultilevel"/>
    <w:tmpl w:val="D848F690"/>
    <w:lvl w:ilvl="0" w:tplc="A3EC42FA">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FFC193D"/>
    <w:multiLevelType w:val="hybridMultilevel"/>
    <w:tmpl w:val="8E722D96"/>
    <w:lvl w:ilvl="0" w:tplc="A440A6EE">
      <w:start w:val="1"/>
      <w:numFmt w:val="decimal"/>
      <w:lvlText w:val="%1."/>
      <w:lvlJc w:val="left"/>
      <w:pPr>
        <w:ind w:left="1211"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AA50EA2"/>
    <w:multiLevelType w:val="multilevel"/>
    <w:tmpl w:val="8430CDD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419F2CC7"/>
    <w:multiLevelType w:val="hybridMultilevel"/>
    <w:tmpl w:val="1114A338"/>
    <w:lvl w:ilvl="0" w:tplc="8DD0DC10">
      <w:start w:val="1"/>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1C03056"/>
    <w:multiLevelType w:val="hybridMultilevel"/>
    <w:tmpl w:val="4948A79C"/>
    <w:lvl w:ilvl="0" w:tplc="DF427E50">
      <w:numFmt w:val="bullet"/>
      <w:lvlText w:val="-"/>
      <w:lvlJc w:val="left"/>
      <w:pPr>
        <w:ind w:left="1080" w:hanging="360"/>
      </w:pPr>
      <w:rPr>
        <w:rFonts w:ascii="Times New Roman" w:eastAsia="Calibri" w:hAnsi="Times New Roman" w:cs="Times New Roman" w:hint="default"/>
        <w:sz w:val="2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44ED7580"/>
    <w:multiLevelType w:val="hybridMultilevel"/>
    <w:tmpl w:val="03203028"/>
    <w:lvl w:ilvl="0" w:tplc="D8EEBC66">
      <w:start w:val="1"/>
      <w:numFmt w:val="decimal"/>
      <w:lvlText w:val="%1"/>
      <w:lvlJc w:val="left"/>
      <w:pPr>
        <w:ind w:left="1211" w:hanging="360"/>
      </w:pPr>
      <w:rPr>
        <w:rFonts w:hint="default"/>
        <w:b w:val="0"/>
        <w:bCs w:val="0"/>
        <w:i/>
        <w:i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A2F16B8"/>
    <w:multiLevelType w:val="hybridMultilevel"/>
    <w:tmpl w:val="3CBEB866"/>
    <w:lvl w:ilvl="0" w:tplc="50DC8C34">
      <w:start w:val="2020"/>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5CF02E9C"/>
    <w:multiLevelType w:val="hybridMultilevel"/>
    <w:tmpl w:val="84F6483C"/>
    <w:lvl w:ilvl="0" w:tplc="68B8BB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5144C7"/>
    <w:multiLevelType w:val="hybridMultilevel"/>
    <w:tmpl w:val="C9403614"/>
    <w:lvl w:ilvl="0" w:tplc="D8EEBC66">
      <w:start w:val="1"/>
      <w:numFmt w:val="decimal"/>
      <w:lvlText w:val="%1"/>
      <w:lvlJc w:val="left"/>
      <w:pPr>
        <w:ind w:left="5039" w:hanging="360"/>
      </w:pPr>
      <w:rPr>
        <w:rFonts w:hint="default"/>
        <w:b w:val="0"/>
        <w:bCs w:val="0"/>
        <w:i/>
        <w:i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08F2041"/>
    <w:multiLevelType w:val="hybridMultilevel"/>
    <w:tmpl w:val="08F275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2DD7712"/>
    <w:multiLevelType w:val="hybridMultilevel"/>
    <w:tmpl w:val="56904D16"/>
    <w:lvl w:ilvl="0" w:tplc="29F62BF2">
      <w:start w:val="6"/>
      <w:numFmt w:val="decimal"/>
      <w:lvlText w:val="%1"/>
      <w:lvlJc w:val="left"/>
      <w:pPr>
        <w:ind w:left="1065" w:hanging="705"/>
      </w:pPr>
      <w:rPr>
        <w:rFonts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F31020"/>
    <w:multiLevelType w:val="hybridMultilevel"/>
    <w:tmpl w:val="7AEC33DE"/>
    <w:lvl w:ilvl="0" w:tplc="7242C69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116C04"/>
    <w:multiLevelType w:val="hybridMultilevel"/>
    <w:tmpl w:val="3F1A434C"/>
    <w:lvl w:ilvl="0" w:tplc="B030BEA4">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2F2091"/>
    <w:multiLevelType w:val="hybridMultilevel"/>
    <w:tmpl w:val="FB102932"/>
    <w:lvl w:ilvl="0" w:tplc="FFFFFFFF">
      <w:start w:val="1"/>
      <w:numFmt w:val="decimal"/>
      <w:lvlText w:val="%1"/>
      <w:lvlJc w:val="left"/>
      <w:pPr>
        <w:ind w:left="2345" w:hanging="360"/>
      </w:pPr>
      <w:rPr>
        <w:rFonts w:hint="default"/>
        <w:b w:val="0"/>
        <w:bCs w:val="0"/>
        <w:i/>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6EA74CA2"/>
    <w:multiLevelType w:val="hybridMultilevel"/>
    <w:tmpl w:val="D514E328"/>
    <w:lvl w:ilvl="0" w:tplc="79E8443A">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6ED771B2"/>
    <w:multiLevelType w:val="hybridMultilevel"/>
    <w:tmpl w:val="7CAA1C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41EC9"/>
    <w:multiLevelType w:val="hybridMultilevel"/>
    <w:tmpl w:val="F59CE55C"/>
    <w:lvl w:ilvl="0" w:tplc="A94EA456">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7A7C3CA6"/>
    <w:multiLevelType w:val="hybridMultilevel"/>
    <w:tmpl w:val="BE766EE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266549802">
    <w:abstractNumId w:val="17"/>
  </w:num>
  <w:num w:numId="2" w16cid:durableId="452140882">
    <w:abstractNumId w:val="10"/>
  </w:num>
  <w:num w:numId="3" w16cid:durableId="221210208">
    <w:abstractNumId w:val="23"/>
  </w:num>
  <w:num w:numId="4" w16cid:durableId="183785840">
    <w:abstractNumId w:val="15"/>
  </w:num>
  <w:num w:numId="5" w16cid:durableId="1723629002">
    <w:abstractNumId w:val="16"/>
  </w:num>
  <w:num w:numId="6" w16cid:durableId="749889623">
    <w:abstractNumId w:val="6"/>
  </w:num>
  <w:num w:numId="7" w16cid:durableId="1239554893">
    <w:abstractNumId w:val="13"/>
  </w:num>
  <w:num w:numId="8" w16cid:durableId="1681272413">
    <w:abstractNumId w:val="4"/>
  </w:num>
  <w:num w:numId="9" w16cid:durableId="1785881017">
    <w:abstractNumId w:val="1"/>
  </w:num>
  <w:num w:numId="10" w16cid:durableId="478035661">
    <w:abstractNumId w:val="11"/>
  </w:num>
  <w:num w:numId="11" w16cid:durableId="1204831299">
    <w:abstractNumId w:val="25"/>
  </w:num>
  <w:num w:numId="12" w16cid:durableId="1312562806">
    <w:abstractNumId w:val="5"/>
  </w:num>
  <w:num w:numId="13" w16cid:durableId="664164739">
    <w:abstractNumId w:val="9"/>
  </w:num>
  <w:num w:numId="14" w16cid:durableId="914826240">
    <w:abstractNumId w:val="14"/>
  </w:num>
  <w:num w:numId="15" w16cid:durableId="1889220336">
    <w:abstractNumId w:val="20"/>
  </w:num>
  <w:num w:numId="16" w16cid:durableId="1103115144">
    <w:abstractNumId w:val="0"/>
  </w:num>
  <w:num w:numId="17" w16cid:durableId="686949251">
    <w:abstractNumId w:val="18"/>
  </w:num>
  <w:num w:numId="18" w16cid:durableId="198786113">
    <w:abstractNumId w:val="8"/>
  </w:num>
  <w:num w:numId="19" w16cid:durableId="1155954597">
    <w:abstractNumId w:val="19"/>
  </w:num>
  <w:num w:numId="20" w16cid:durableId="437481884">
    <w:abstractNumId w:val="3"/>
  </w:num>
  <w:num w:numId="21" w16cid:durableId="313992877">
    <w:abstractNumId w:val="12"/>
  </w:num>
  <w:num w:numId="22" w16cid:durableId="161550939">
    <w:abstractNumId w:val="24"/>
  </w:num>
  <w:num w:numId="23" w16cid:durableId="1444571331">
    <w:abstractNumId w:val="22"/>
  </w:num>
  <w:num w:numId="24" w16cid:durableId="390738274">
    <w:abstractNumId w:val="21"/>
  </w:num>
  <w:num w:numId="25" w16cid:durableId="203371916">
    <w:abstractNumId w:val="2"/>
  </w:num>
  <w:num w:numId="26" w16cid:durableId="103232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BA"/>
    <w:rsid w:val="000013E5"/>
    <w:rsid w:val="000017C8"/>
    <w:rsid w:val="00003692"/>
    <w:rsid w:val="00003AC5"/>
    <w:rsid w:val="00003BB8"/>
    <w:rsid w:val="0000487B"/>
    <w:rsid w:val="000055DC"/>
    <w:rsid w:val="000067EA"/>
    <w:rsid w:val="0000772B"/>
    <w:rsid w:val="00007940"/>
    <w:rsid w:val="00007ABA"/>
    <w:rsid w:val="00012D12"/>
    <w:rsid w:val="00012EC8"/>
    <w:rsid w:val="00012F9D"/>
    <w:rsid w:val="0001433B"/>
    <w:rsid w:val="00017D0B"/>
    <w:rsid w:val="00017F62"/>
    <w:rsid w:val="00020320"/>
    <w:rsid w:val="00022F7F"/>
    <w:rsid w:val="000230A4"/>
    <w:rsid w:val="00024AFA"/>
    <w:rsid w:val="00027077"/>
    <w:rsid w:val="00027B70"/>
    <w:rsid w:val="000301F0"/>
    <w:rsid w:val="0003054C"/>
    <w:rsid w:val="00030885"/>
    <w:rsid w:val="00032423"/>
    <w:rsid w:val="000327CC"/>
    <w:rsid w:val="000350E8"/>
    <w:rsid w:val="0003525F"/>
    <w:rsid w:val="00035524"/>
    <w:rsid w:val="00036BDF"/>
    <w:rsid w:val="00036E2A"/>
    <w:rsid w:val="00040F02"/>
    <w:rsid w:val="00042FF6"/>
    <w:rsid w:val="000440E9"/>
    <w:rsid w:val="00044562"/>
    <w:rsid w:val="000450D7"/>
    <w:rsid w:val="000478DD"/>
    <w:rsid w:val="00050AEF"/>
    <w:rsid w:val="00051EA4"/>
    <w:rsid w:val="0005250F"/>
    <w:rsid w:val="0005398A"/>
    <w:rsid w:val="00056272"/>
    <w:rsid w:val="00057D3D"/>
    <w:rsid w:val="00060A7E"/>
    <w:rsid w:val="00064078"/>
    <w:rsid w:val="00067A69"/>
    <w:rsid w:val="00067B94"/>
    <w:rsid w:val="00070183"/>
    <w:rsid w:val="00070B27"/>
    <w:rsid w:val="000721FC"/>
    <w:rsid w:val="00072B6D"/>
    <w:rsid w:val="00072CC6"/>
    <w:rsid w:val="0007335B"/>
    <w:rsid w:val="000738C4"/>
    <w:rsid w:val="00073DDF"/>
    <w:rsid w:val="000766E7"/>
    <w:rsid w:val="00081C46"/>
    <w:rsid w:val="000833D6"/>
    <w:rsid w:val="000834AA"/>
    <w:rsid w:val="00083A76"/>
    <w:rsid w:val="00084AAB"/>
    <w:rsid w:val="000853BD"/>
    <w:rsid w:val="00085B67"/>
    <w:rsid w:val="00086762"/>
    <w:rsid w:val="0008784F"/>
    <w:rsid w:val="00087FE9"/>
    <w:rsid w:val="0009133C"/>
    <w:rsid w:val="00091B04"/>
    <w:rsid w:val="00091F80"/>
    <w:rsid w:val="00093455"/>
    <w:rsid w:val="000951C9"/>
    <w:rsid w:val="0009670A"/>
    <w:rsid w:val="000A0609"/>
    <w:rsid w:val="000A0BF9"/>
    <w:rsid w:val="000A0F08"/>
    <w:rsid w:val="000A144A"/>
    <w:rsid w:val="000A1D4A"/>
    <w:rsid w:val="000A322C"/>
    <w:rsid w:val="000A4799"/>
    <w:rsid w:val="000A6BB0"/>
    <w:rsid w:val="000B00CA"/>
    <w:rsid w:val="000B0F70"/>
    <w:rsid w:val="000B2219"/>
    <w:rsid w:val="000B4C18"/>
    <w:rsid w:val="000B4D17"/>
    <w:rsid w:val="000B56A0"/>
    <w:rsid w:val="000B697C"/>
    <w:rsid w:val="000C33FA"/>
    <w:rsid w:val="000C3DE5"/>
    <w:rsid w:val="000C5409"/>
    <w:rsid w:val="000C5511"/>
    <w:rsid w:val="000C7C49"/>
    <w:rsid w:val="000D1AF0"/>
    <w:rsid w:val="000D25BF"/>
    <w:rsid w:val="000D3642"/>
    <w:rsid w:val="000D4805"/>
    <w:rsid w:val="000D56EC"/>
    <w:rsid w:val="000D583E"/>
    <w:rsid w:val="000D6BEE"/>
    <w:rsid w:val="000D7DA4"/>
    <w:rsid w:val="000E2BD1"/>
    <w:rsid w:val="000E40EF"/>
    <w:rsid w:val="000E59E7"/>
    <w:rsid w:val="000E5EDA"/>
    <w:rsid w:val="000F1113"/>
    <w:rsid w:val="000F2CA8"/>
    <w:rsid w:val="000F63DF"/>
    <w:rsid w:val="000F7421"/>
    <w:rsid w:val="000F7440"/>
    <w:rsid w:val="00100AF7"/>
    <w:rsid w:val="0010130D"/>
    <w:rsid w:val="0010230E"/>
    <w:rsid w:val="00103F01"/>
    <w:rsid w:val="00107289"/>
    <w:rsid w:val="00110500"/>
    <w:rsid w:val="00110A3F"/>
    <w:rsid w:val="00111772"/>
    <w:rsid w:val="001134DF"/>
    <w:rsid w:val="001137F3"/>
    <w:rsid w:val="00115856"/>
    <w:rsid w:val="0011657D"/>
    <w:rsid w:val="00116CD4"/>
    <w:rsid w:val="00117761"/>
    <w:rsid w:val="00117AFB"/>
    <w:rsid w:val="00120879"/>
    <w:rsid w:val="00124583"/>
    <w:rsid w:val="00124EA5"/>
    <w:rsid w:val="00124FFA"/>
    <w:rsid w:val="00130AA1"/>
    <w:rsid w:val="00131BDE"/>
    <w:rsid w:val="001349A6"/>
    <w:rsid w:val="0013621E"/>
    <w:rsid w:val="001370E5"/>
    <w:rsid w:val="00137A2C"/>
    <w:rsid w:val="00137A6B"/>
    <w:rsid w:val="00137C88"/>
    <w:rsid w:val="00137FCC"/>
    <w:rsid w:val="001428D3"/>
    <w:rsid w:val="00142E9B"/>
    <w:rsid w:val="00145DBE"/>
    <w:rsid w:val="00146D26"/>
    <w:rsid w:val="0014765C"/>
    <w:rsid w:val="00147A52"/>
    <w:rsid w:val="001521B8"/>
    <w:rsid w:val="00153974"/>
    <w:rsid w:val="00153C06"/>
    <w:rsid w:val="00157C0B"/>
    <w:rsid w:val="0016021E"/>
    <w:rsid w:val="00162049"/>
    <w:rsid w:val="00164C39"/>
    <w:rsid w:val="00164E24"/>
    <w:rsid w:val="0016570B"/>
    <w:rsid w:val="00165AD7"/>
    <w:rsid w:val="00167026"/>
    <w:rsid w:val="0016747B"/>
    <w:rsid w:val="0017068F"/>
    <w:rsid w:val="00171044"/>
    <w:rsid w:val="00171098"/>
    <w:rsid w:val="001720E3"/>
    <w:rsid w:val="0017271C"/>
    <w:rsid w:val="00172E29"/>
    <w:rsid w:val="0017361F"/>
    <w:rsid w:val="00174A66"/>
    <w:rsid w:val="00174F92"/>
    <w:rsid w:val="00176A2B"/>
    <w:rsid w:val="00177D2C"/>
    <w:rsid w:val="0018000F"/>
    <w:rsid w:val="00181C13"/>
    <w:rsid w:val="00183657"/>
    <w:rsid w:val="0018449D"/>
    <w:rsid w:val="0018514F"/>
    <w:rsid w:val="001857B0"/>
    <w:rsid w:val="00186FC2"/>
    <w:rsid w:val="00191766"/>
    <w:rsid w:val="00191D3E"/>
    <w:rsid w:val="00192F23"/>
    <w:rsid w:val="00194FDC"/>
    <w:rsid w:val="0019505E"/>
    <w:rsid w:val="0019586A"/>
    <w:rsid w:val="0019672E"/>
    <w:rsid w:val="00197B4A"/>
    <w:rsid w:val="001A2634"/>
    <w:rsid w:val="001A26AA"/>
    <w:rsid w:val="001A41B2"/>
    <w:rsid w:val="001A4846"/>
    <w:rsid w:val="001A73A9"/>
    <w:rsid w:val="001B1559"/>
    <w:rsid w:val="001B2168"/>
    <w:rsid w:val="001B2581"/>
    <w:rsid w:val="001B5129"/>
    <w:rsid w:val="001B58B0"/>
    <w:rsid w:val="001B5EF5"/>
    <w:rsid w:val="001C037F"/>
    <w:rsid w:val="001C0B4A"/>
    <w:rsid w:val="001C514F"/>
    <w:rsid w:val="001D1A25"/>
    <w:rsid w:val="001D350E"/>
    <w:rsid w:val="001D4653"/>
    <w:rsid w:val="001D51C8"/>
    <w:rsid w:val="001D5998"/>
    <w:rsid w:val="001D64B1"/>
    <w:rsid w:val="001D70BD"/>
    <w:rsid w:val="001D7F55"/>
    <w:rsid w:val="001E0E77"/>
    <w:rsid w:val="001E20B5"/>
    <w:rsid w:val="001E21BF"/>
    <w:rsid w:val="001E2CD1"/>
    <w:rsid w:val="001E32BB"/>
    <w:rsid w:val="001E4CFD"/>
    <w:rsid w:val="001E7475"/>
    <w:rsid w:val="001F11A1"/>
    <w:rsid w:val="001F3ADB"/>
    <w:rsid w:val="001F4F3B"/>
    <w:rsid w:val="0020032E"/>
    <w:rsid w:val="002012A6"/>
    <w:rsid w:val="00202856"/>
    <w:rsid w:val="002036D6"/>
    <w:rsid w:val="002044B8"/>
    <w:rsid w:val="0020633B"/>
    <w:rsid w:val="002121F7"/>
    <w:rsid w:val="00212C86"/>
    <w:rsid w:val="0021428A"/>
    <w:rsid w:val="0021564F"/>
    <w:rsid w:val="00215E2E"/>
    <w:rsid w:val="00217089"/>
    <w:rsid w:val="00220109"/>
    <w:rsid w:val="00220290"/>
    <w:rsid w:val="00220F60"/>
    <w:rsid w:val="00221D81"/>
    <w:rsid w:val="002225A0"/>
    <w:rsid w:val="002237AB"/>
    <w:rsid w:val="00223FBA"/>
    <w:rsid w:val="002268F5"/>
    <w:rsid w:val="002271BA"/>
    <w:rsid w:val="00230D04"/>
    <w:rsid w:val="002338F4"/>
    <w:rsid w:val="002371E4"/>
    <w:rsid w:val="00241F96"/>
    <w:rsid w:val="00242A1D"/>
    <w:rsid w:val="0024431D"/>
    <w:rsid w:val="00245CAB"/>
    <w:rsid w:val="00246581"/>
    <w:rsid w:val="00247766"/>
    <w:rsid w:val="00247D59"/>
    <w:rsid w:val="00247E56"/>
    <w:rsid w:val="00253609"/>
    <w:rsid w:val="002537B1"/>
    <w:rsid w:val="002551C9"/>
    <w:rsid w:val="0025613A"/>
    <w:rsid w:val="00256BEA"/>
    <w:rsid w:val="00260487"/>
    <w:rsid w:val="002626F8"/>
    <w:rsid w:val="00262857"/>
    <w:rsid w:val="00262B32"/>
    <w:rsid w:val="002701F8"/>
    <w:rsid w:val="00270FA2"/>
    <w:rsid w:val="00271423"/>
    <w:rsid w:val="00271861"/>
    <w:rsid w:val="002718AB"/>
    <w:rsid w:val="00271B61"/>
    <w:rsid w:val="002722F8"/>
    <w:rsid w:val="00272D65"/>
    <w:rsid w:val="002740DB"/>
    <w:rsid w:val="0027437C"/>
    <w:rsid w:val="002769A5"/>
    <w:rsid w:val="00277088"/>
    <w:rsid w:val="0028282D"/>
    <w:rsid w:val="0028345B"/>
    <w:rsid w:val="00283F46"/>
    <w:rsid w:val="00285ABA"/>
    <w:rsid w:val="0028684B"/>
    <w:rsid w:val="00293F9E"/>
    <w:rsid w:val="002944BA"/>
    <w:rsid w:val="00294604"/>
    <w:rsid w:val="002948D0"/>
    <w:rsid w:val="0029583B"/>
    <w:rsid w:val="002A014A"/>
    <w:rsid w:val="002A09E3"/>
    <w:rsid w:val="002A1538"/>
    <w:rsid w:val="002A2CCD"/>
    <w:rsid w:val="002A5B3F"/>
    <w:rsid w:val="002A711C"/>
    <w:rsid w:val="002A78E7"/>
    <w:rsid w:val="002B0C91"/>
    <w:rsid w:val="002B128B"/>
    <w:rsid w:val="002B1B24"/>
    <w:rsid w:val="002B4393"/>
    <w:rsid w:val="002B6FA9"/>
    <w:rsid w:val="002B7801"/>
    <w:rsid w:val="002B79DA"/>
    <w:rsid w:val="002C68AD"/>
    <w:rsid w:val="002C7DEC"/>
    <w:rsid w:val="002D1F3E"/>
    <w:rsid w:val="002D4066"/>
    <w:rsid w:val="002D4DDA"/>
    <w:rsid w:val="002D5E1C"/>
    <w:rsid w:val="002D7698"/>
    <w:rsid w:val="002E0213"/>
    <w:rsid w:val="002E18C3"/>
    <w:rsid w:val="002E2908"/>
    <w:rsid w:val="002E5549"/>
    <w:rsid w:val="002E56C7"/>
    <w:rsid w:val="002F15EA"/>
    <w:rsid w:val="002F1818"/>
    <w:rsid w:val="002F4A7E"/>
    <w:rsid w:val="002F4B2F"/>
    <w:rsid w:val="002F6581"/>
    <w:rsid w:val="002F78CB"/>
    <w:rsid w:val="00301422"/>
    <w:rsid w:val="003014C7"/>
    <w:rsid w:val="00301F3B"/>
    <w:rsid w:val="00302748"/>
    <w:rsid w:val="00302FDB"/>
    <w:rsid w:val="003032BC"/>
    <w:rsid w:val="00303563"/>
    <w:rsid w:val="00303951"/>
    <w:rsid w:val="00305225"/>
    <w:rsid w:val="003059E4"/>
    <w:rsid w:val="00306CAF"/>
    <w:rsid w:val="00307A20"/>
    <w:rsid w:val="00307C6C"/>
    <w:rsid w:val="00307FA4"/>
    <w:rsid w:val="00312B87"/>
    <w:rsid w:val="003132B4"/>
    <w:rsid w:val="00313AE8"/>
    <w:rsid w:val="00315BA8"/>
    <w:rsid w:val="00316D44"/>
    <w:rsid w:val="00317633"/>
    <w:rsid w:val="00317D9F"/>
    <w:rsid w:val="0032094D"/>
    <w:rsid w:val="00321252"/>
    <w:rsid w:val="003246D7"/>
    <w:rsid w:val="00324807"/>
    <w:rsid w:val="00326E07"/>
    <w:rsid w:val="00327C23"/>
    <w:rsid w:val="0033191C"/>
    <w:rsid w:val="00334FBA"/>
    <w:rsid w:val="0033755D"/>
    <w:rsid w:val="00341677"/>
    <w:rsid w:val="00341868"/>
    <w:rsid w:val="003428CA"/>
    <w:rsid w:val="003429C5"/>
    <w:rsid w:val="00342B07"/>
    <w:rsid w:val="0034514A"/>
    <w:rsid w:val="0034529A"/>
    <w:rsid w:val="00345F00"/>
    <w:rsid w:val="00346043"/>
    <w:rsid w:val="00353400"/>
    <w:rsid w:val="00354D76"/>
    <w:rsid w:val="003557CA"/>
    <w:rsid w:val="003560CC"/>
    <w:rsid w:val="0035617A"/>
    <w:rsid w:val="00357A08"/>
    <w:rsid w:val="0036085B"/>
    <w:rsid w:val="003611C2"/>
    <w:rsid w:val="0036259D"/>
    <w:rsid w:val="003660FE"/>
    <w:rsid w:val="0037109D"/>
    <w:rsid w:val="00373DFD"/>
    <w:rsid w:val="003767F7"/>
    <w:rsid w:val="00376B1E"/>
    <w:rsid w:val="00383B69"/>
    <w:rsid w:val="00384A7B"/>
    <w:rsid w:val="00384F7B"/>
    <w:rsid w:val="00385156"/>
    <w:rsid w:val="00394691"/>
    <w:rsid w:val="00395724"/>
    <w:rsid w:val="00395939"/>
    <w:rsid w:val="00395B89"/>
    <w:rsid w:val="00397AEE"/>
    <w:rsid w:val="003A0CE7"/>
    <w:rsid w:val="003A27BB"/>
    <w:rsid w:val="003A4896"/>
    <w:rsid w:val="003A6F5D"/>
    <w:rsid w:val="003B525A"/>
    <w:rsid w:val="003B604A"/>
    <w:rsid w:val="003B6D2F"/>
    <w:rsid w:val="003B6FD5"/>
    <w:rsid w:val="003C0EEF"/>
    <w:rsid w:val="003C107D"/>
    <w:rsid w:val="003C1F18"/>
    <w:rsid w:val="003C2B8E"/>
    <w:rsid w:val="003C4E1C"/>
    <w:rsid w:val="003D259F"/>
    <w:rsid w:val="003D352F"/>
    <w:rsid w:val="003D3B63"/>
    <w:rsid w:val="003D4684"/>
    <w:rsid w:val="003D5439"/>
    <w:rsid w:val="003D5A23"/>
    <w:rsid w:val="003D6AB1"/>
    <w:rsid w:val="003D6FFB"/>
    <w:rsid w:val="003E280C"/>
    <w:rsid w:val="003E2AAD"/>
    <w:rsid w:val="003E317B"/>
    <w:rsid w:val="003E3B8A"/>
    <w:rsid w:val="003E4CBF"/>
    <w:rsid w:val="003E7E4E"/>
    <w:rsid w:val="003F48AE"/>
    <w:rsid w:val="003F4BC5"/>
    <w:rsid w:val="003F6B62"/>
    <w:rsid w:val="003F7EFE"/>
    <w:rsid w:val="00400A0B"/>
    <w:rsid w:val="00401A9E"/>
    <w:rsid w:val="00402463"/>
    <w:rsid w:val="004048EB"/>
    <w:rsid w:val="00405C71"/>
    <w:rsid w:val="00410122"/>
    <w:rsid w:val="00410BEB"/>
    <w:rsid w:val="00411804"/>
    <w:rsid w:val="00414860"/>
    <w:rsid w:val="00414BC2"/>
    <w:rsid w:val="00416A76"/>
    <w:rsid w:val="004202FF"/>
    <w:rsid w:val="004208CC"/>
    <w:rsid w:val="004213FB"/>
    <w:rsid w:val="004217F3"/>
    <w:rsid w:val="00425326"/>
    <w:rsid w:val="004274B9"/>
    <w:rsid w:val="00432301"/>
    <w:rsid w:val="00435A82"/>
    <w:rsid w:val="00435F03"/>
    <w:rsid w:val="0044025F"/>
    <w:rsid w:val="004419B8"/>
    <w:rsid w:val="0044219F"/>
    <w:rsid w:val="004438D3"/>
    <w:rsid w:val="004438D7"/>
    <w:rsid w:val="0044407A"/>
    <w:rsid w:val="004447F7"/>
    <w:rsid w:val="00444CDA"/>
    <w:rsid w:val="0044655B"/>
    <w:rsid w:val="00450473"/>
    <w:rsid w:val="00452828"/>
    <w:rsid w:val="00453A0D"/>
    <w:rsid w:val="00455396"/>
    <w:rsid w:val="004556FC"/>
    <w:rsid w:val="00456471"/>
    <w:rsid w:val="00457166"/>
    <w:rsid w:val="00457972"/>
    <w:rsid w:val="00460645"/>
    <w:rsid w:val="004608B5"/>
    <w:rsid w:val="00461A82"/>
    <w:rsid w:val="00461AF7"/>
    <w:rsid w:val="0046253F"/>
    <w:rsid w:val="00462E22"/>
    <w:rsid w:val="00463362"/>
    <w:rsid w:val="0046628C"/>
    <w:rsid w:val="00470181"/>
    <w:rsid w:val="0047552A"/>
    <w:rsid w:val="0047674B"/>
    <w:rsid w:val="00477681"/>
    <w:rsid w:val="004812F5"/>
    <w:rsid w:val="00481588"/>
    <w:rsid w:val="0048170A"/>
    <w:rsid w:val="004827C5"/>
    <w:rsid w:val="00483E6C"/>
    <w:rsid w:val="00484361"/>
    <w:rsid w:val="00484B60"/>
    <w:rsid w:val="00487290"/>
    <w:rsid w:val="00490479"/>
    <w:rsid w:val="00490B41"/>
    <w:rsid w:val="004915BC"/>
    <w:rsid w:val="00491F2B"/>
    <w:rsid w:val="004922CF"/>
    <w:rsid w:val="00492770"/>
    <w:rsid w:val="00492E0F"/>
    <w:rsid w:val="004966EC"/>
    <w:rsid w:val="00496B35"/>
    <w:rsid w:val="00496E5A"/>
    <w:rsid w:val="004A3154"/>
    <w:rsid w:val="004A3BD0"/>
    <w:rsid w:val="004A5588"/>
    <w:rsid w:val="004A6AB8"/>
    <w:rsid w:val="004A6AE3"/>
    <w:rsid w:val="004B016D"/>
    <w:rsid w:val="004B0369"/>
    <w:rsid w:val="004B0547"/>
    <w:rsid w:val="004B0B44"/>
    <w:rsid w:val="004B169E"/>
    <w:rsid w:val="004B275C"/>
    <w:rsid w:val="004B2EFF"/>
    <w:rsid w:val="004B3C6D"/>
    <w:rsid w:val="004B40FE"/>
    <w:rsid w:val="004B47ED"/>
    <w:rsid w:val="004B604C"/>
    <w:rsid w:val="004B6553"/>
    <w:rsid w:val="004B7E05"/>
    <w:rsid w:val="004C0109"/>
    <w:rsid w:val="004C1C14"/>
    <w:rsid w:val="004C5073"/>
    <w:rsid w:val="004C5E05"/>
    <w:rsid w:val="004C65DB"/>
    <w:rsid w:val="004C65F6"/>
    <w:rsid w:val="004D18A4"/>
    <w:rsid w:val="004D47E3"/>
    <w:rsid w:val="004D6423"/>
    <w:rsid w:val="004D6C15"/>
    <w:rsid w:val="004D731A"/>
    <w:rsid w:val="004E45F9"/>
    <w:rsid w:val="004E5411"/>
    <w:rsid w:val="004E77E9"/>
    <w:rsid w:val="004E79B0"/>
    <w:rsid w:val="004F0969"/>
    <w:rsid w:val="004F269E"/>
    <w:rsid w:val="004F31C6"/>
    <w:rsid w:val="004F3795"/>
    <w:rsid w:val="004F6243"/>
    <w:rsid w:val="004F6462"/>
    <w:rsid w:val="004F668F"/>
    <w:rsid w:val="005008E6"/>
    <w:rsid w:val="00501130"/>
    <w:rsid w:val="00501D52"/>
    <w:rsid w:val="00502809"/>
    <w:rsid w:val="005038C0"/>
    <w:rsid w:val="005052AE"/>
    <w:rsid w:val="005053FE"/>
    <w:rsid w:val="005074AB"/>
    <w:rsid w:val="00507CFF"/>
    <w:rsid w:val="00511E16"/>
    <w:rsid w:val="00514089"/>
    <w:rsid w:val="005173ED"/>
    <w:rsid w:val="00520428"/>
    <w:rsid w:val="00523FD7"/>
    <w:rsid w:val="005256D6"/>
    <w:rsid w:val="005257CE"/>
    <w:rsid w:val="00526030"/>
    <w:rsid w:val="005278B5"/>
    <w:rsid w:val="00530723"/>
    <w:rsid w:val="00530D9B"/>
    <w:rsid w:val="00534197"/>
    <w:rsid w:val="00535338"/>
    <w:rsid w:val="00535D8E"/>
    <w:rsid w:val="00537EC8"/>
    <w:rsid w:val="0054183A"/>
    <w:rsid w:val="00542207"/>
    <w:rsid w:val="005433E0"/>
    <w:rsid w:val="00543D3F"/>
    <w:rsid w:val="00546D6A"/>
    <w:rsid w:val="00547316"/>
    <w:rsid w:val="00547EF1"/>
    <w:rsid w:val="0055141B"/>
    <w:rsid w:val="005517B2"/>
    <w:rsid w:val="00552F7C"/>
    <w:rsid w:val="00553047"/>
    <w:rsid w:val="005532B6"/>
    <w:rsid w:val="005532F0"/>
    <w:rsid w:val="0055337F"/>
    <w:rsid w:val="00553A9B"/>
    <w:rsid w:val="005556E5"/>
    <w:rsid w:val="0055698D"/>
    <w:rsid w:val="00561625"/>
    <w:rsid w:val="00563D95"/>
    <w:rsid w:val="00563E78"/>
    <w:rsid w:val="00565828"/>
    <w:rsid w:val="00565B6C"/>
    <w:rsid w:val="00567750"/>
    <w:rsid w:val="00574842"/>
    <w:rsid w:val="00576C67"/>
    <w:rsid w:val="00577D5D"/>
    <w:rsid w:val="00581212"/>
    <w:rsid w:val="00581655"/>
    <w:rsid w:val="00581962"/>
    <w:rsid w:val="00583346"/>
    <w:rsid w:val="00583854"/>
    <w:rsid w:val="00583EAE"/>
    <w:rsid w:val="00585DB0"/>
    <w:rsid w:val="00587417"/>
    <w:rsid w:val="00587B68"/>
    <w:rsid w:val="0059257B"/>
    <w:rsid w:val="00593E3A"/>
    <w:rsid w:val="005962AB"/>
    <w:rsid w:val="005A0FDC"/>
    <w:rsid w:val="005A1D4B"/>
    <w:rsid w:val="005A1E29"/>
    <w:rsid w:val="005A46E8"/>
    <w:rsid w:val="005A6E31"/>
    <w:rsid w:val="005A72E8"/>
    <w:rsid w:val="005B02DF"/>
    <w:rsid w:val="005B19E6"/>
    <w:rsid w:val="005B1A92"/>
    <w:rsid w:val="005B1B3C"/>
    <w:rsid w:val="005B25E3"/>
    <w:rsid w:val="005B3929"/>
    <w:rsid w:val="005B3FAA"/>
    <w:rsid w:val="005B4775"/>
    <w:rsid w:val="005B5F5C"/>
    <w:rsid w:val="005C009C"/>
    <w:rsid w:val="005C1160"/>
    <w:rsid w:val="005C539E"/>
    <w:rsid w:val="005C5839"/>
    <w:rsid w:val="005C5FEF"/>
    <w:rsid w:val="005C780E"/>
    <w:rsid w:val="005C7AD6"/>
    <w:rsid w:val="005D08DE"/>
    <w:rsid w:val="005D10AE"/>
    <w:rsid w:val="005D339D"/>
    <w:rsid w:val="005D4D73"/>
    <w:rsid w:val="005D4FEA"/>
    <w:rsid w:val="005D504F"/>
    <w:rsid w:val="005D70AD"/>
    <w:rsid w:val="005E0708"/>
    <w:rsid w:val="005E1687"/>
    <w:rsid w:val="005E195F"/>
    <w:rsid w:val="005E1982"/>
    <w:rsid w:val="005E452B"/>
    <w:rsid w:val="005E4CD4"/>
    <w:rsid w:val="005E5EE4"/>
    <w:rsid w:val="005E6D3C"/>
    <w:rsid w:val="005F0B37"/>
    <w:rsid w:val="005F38DE"/>
    <w:rsid w:val="005F4E45"/>
    <w:rsid w:val="005F543F"/>
    <w:rsid w:val="005F69EE"/>
    <w:rsid w:val="005F7D9F"/>
    <w:rsid w:val="0060031E"/>
    <w:rsid w:val="00602346"/>
    <w:rsid w:val="0060247A"/>
    <w:rsid w:val="00602ADB"/>
    <w:rsid w:val="006034A8"/>
    <w:rsid w:val="00603ADB"/>
    <w:rsid w:val="0060479C"/>
    <w:rsid w:val="0060544F"/>
    <w:rsid w:val="006059FC"/>
    <w:rsid w:val="00611761"/>
    <w:rsid w:val="00611D53"/>
    <w:rsid w:val="00614E8B"/>
    <w:rsid w:val="00616043"/>
    <w:rsid w:val="006166F4"/>
    <w:rsid w:val="00616EAF"/>
    <w:rsid w:val="00617708"/>
    <w:rsid w:val="0062019B"/>
    <w:rsid w:val="00620248"/>
    <w:rsid w:val="006207DF"/>
    <w:rsid w:val="0062196C"/>
    <w:rsid w:val="0062330A"/>
    <w:rsid w:val="006322CF"/>
    <w:rsid w:val="00634682"/>
    <w:rsid w:val="00634C3F"/>
    <w:rsid w:val="0063681B"/>
    <w:rsid w:val="00637F41"/>
    <w:rsid w:val="006402AA"/>
    <w:rsid w:val="00640CB1"/>
    <w:rsid w:val="00640FF8"/>
    <w:rsid w:val="00643F0A"/>
    <w:rsid w:val="00644827"/>
    <w:rsid w:val="00646693"/>
    <w:rsid w:val="00652861"/>
    <w:rsid w:val="0065288B"/>
    <w:rsid w:val="00652EA1"/>
    <w:rsid w:val="00656143"/>
    <w:rsid w:val="00656366"/>
    <w:rsid w:val="00656C3C"/>
    <w:rsid w:val="00657753"/>
    <w:rsid w:val="00660712"/>
    <w:rsid w:val="00661D65"/>
    <w:rsid w:val="006639C7"/>
    <w:rsid w:val="00664395"/>
    <w:rsid w:val="00665553"/>
    <w:rsid w:val="00666A3E"/>
    <w:rsid w:val="00670298"/>
    <w:rsid w:val="00670641"/>
    <w:rsid w:val="006715A7"/>
    <w:rsid w:val="006717EE"/>
    <w:rsid w:val="006721C2"/>
    <w:rsid w:val="00672553"/>
    <w:rsid w:val="006725A4"/>
    <w:rsid w:val="006731EC"/>
    <w:rsid w:val="00673F1F"/>
    <w:rsid w:val="006746EE"/>
    <w:rsid w:val="00674EF6"/>
    <w:rsid w:val="006754E0"/>
    <w:rsid w:val="006763DE"/>
    <w:rsid w:val="00676D43"/>
    <w:rsid w:val="00677F9C"/>
    <w:rsid w:val="00680D53"/>
    <w:rsid w:val="00681C5F"/>
    <w:rsid w:val="00682176"/>
    <w:rsid w:val="00684324"/>
    <w:rsid w:val="0069107D"/>
    <w:rsid w:val="00694554"/>
    <w:rsid w:val="006955A8"/>
    <w:rsid w:val="006A0B9D"/>
    <w:rsid w:val="006A2A0C"/>
    <w:rsid w:val="006A30DD"/>
    <w:rsid w:val="006A6A8E"/>
    <w:rsid w:val="006A6B1A"/>
    <w:rsid w:val="006A7964"/>
    <w:rsid w:val="006B05C1"/>
    <w:rsid w:val="006B29C1"/>
    <w:rsid w:val="006B39B3"/>
    <w:rsid w:val="006C02DF"/>
    <w:rsid w:val="006C2C8E"/>
    <w:rsid w:val="006C339D"/>
    <w:rsid w:val="006C431F"/>
    <w:rsid w:val="006C454C"/>
    <w:rsid w:val="006C5CE3"/>
    <w:rsid w:val="006C6C7B"/>
    <w:rsid w:val="006C71E2"/>
    <w:rsid w:val="006C7D4C"/>
    <w:rsid w:val="006D0C21"/>
    <w:rsid w:val="006D167A"/>
    <w:rsid w:val="006D42A0"/>
    <w:rsid w:val="006D6D64"/>
    <w:rsid w:val="006D7CB1"/>
    <w:rsid w:val="006E0FED"/>
    <w:rsid w:val="006E103C"/>
    <w:rsid w:val="006E2B0C"/>
    <w:rsid w:val="006E344D"/>
    <w:rsid w:val="006E3813"/>
    <w:rsid w:val="006E3838"/>
    <w:rsid w:val="006E3912"/>
    <w:rsid w:val="006E56BF"/>
    <w:rsid w:val="006F0749"/>
    <w:rsid w:val="006F3316"/>
    <w:rsid w:val="006F42AC"/>
    <w:rsid w:val="006F4760"/>
    <w:rsid w:val="006F4A8F"/>
    <w:rsid w:val="0070086A"/>
    <w:rsid w:val="00700C89"/>
    <w:rsid w:val="0070180C"/>
    <w:rsid w:val="0070282D"/>
    <w:rsid w:val="007028CD"/>
    <w:rsid w:val="007031C4"/>
    <w:rsid w:val="00703473"/>
    <w:rsid w:val="0070420E"/>
    <w:rsid w:val="007046F3"/>
    <w:rsid w:val="00705B75"/>
    <w:rsid w:val="00707086"/>
    <w:rsid w:val="007074E7"/>
    <w:rsid w:val="00707876"/>
    <w:rsid w:val="00707A8A"/>
    <w:rsid w:val="00711925"/>
    <w:rsid w:val="00713932"/>
    <w:rsid w:val="00717774"/>
    <w:rsid w:val="00720FEE"/>
    <w:rsid w:val="007232C8"/>
    <w:rsid w:val="00723651"/>
    <w:rsid w:val="00725FEA"/>
    <w:rsid w:val="007264A2"/>
    <w:rsid w:val="007274BA"/>
    <w:rsid w:val="007303BB"/>
    <w:rsid w:val="007317B1"/>
    <w:rsid w:val="007339CD"/>
    <w:rsid w:val="00733B08"/>
    <w:rsid w:val="0073460F"/>
    <w:rsid w:val="007366E7"/>
    <w:rsid w:val="00737695"/>
    <w:rsid w:val="0074285E"/>
    <w:rsid w:val="00743CBF"/>
    <w:rsid w:val="00746061"/>
    <w:rsid w:val="00746A3A"/>
    <w:rsid w:val="007475FC"/>
    <w:rsid w:val="00750490"/>
    <w:rsid w:val="00752460"/>
    <w:rsid w:val="00754028"/>
    <w:rsid w:val="00755AA0"/>
    <w:rsid w:val="00756DC0"/>
    <w:rsid w:val="007610A2"/>
    <w:rsid w:val="00761389"/>
    <w:rsid w:val="00761E8C"/>
    <w:rsid w:val="00763EF0"/>
    <w:rsid w:val="00764518"/>
    <w:rsid w:val="0076629B"/>
    <w:rsid w:val="00766BB3"/>
    <w:rsid w:val="007707F8"/>
    <w:rsid w:val="00774145"/>
    <w:rsid w:val="007745DC"/>
    <w:rsid w:val="00776C51"/>
    <w:rsid w:val="007777B9"/>
    <w:rsid w:val="00777C98"/>
    <w:rsid w:val="007814EE"/>
    <w:rsid w:val="007815B4"/>
    <w:rsid w:val="00782152"/>
    <w:rsid w:val="00783428"/>
    <w:rsid w:val="00783B76"/>
    <w:rsid w:val="00787272"/>
    <w:rsid w:val="007875BD"/>
    <w:rsid w:val="00787785"/>
    <w:rsid w:val="00790405"/>
    <w:rsid w:val="00790BAD"/>
    <w:rsid w:val="00790C55"/>
    <w:rsid w:val="00791946"/>
    <w:rsid w:val="00793AA0"/>
    <w:rsid w:val="0079518C"/>
    <w:rsid w:val="007A0A6A"/>
    <w:rsid w:val="007A29D9"/>
    <w:rsid w:val="007A3867"/>
    <w:rsid w:val="007A53D5"/>
    <w:rsid w:val="007A5C92"/>
    <w:rsid w:val="007A6EE1"/>
    <w:rsid w:val="007A7E95"/>
    <w:rsid w:val="007B2739"/>
    <w:rsid w:val="007B3D0C"/>
    <w:rsid w:val="007B3D70"/>
    <w:rsid w:val="007B53B1"/>
    <w:rsid w:val="007B5EA3"/>
    <w:rsid w:val="007B6749"/>
    <w:rsid w:val="007B719E"/>
    <w:rsid w:val="007B7B3B"/>
    <w:rsid w:val="007C0049"/>
    <w:rsid w:val="007C1D43"/>
    <w:rsid w:val="007C4ADB"/>
    <w:rsid w:val="007C5D49"/>
    <w:rsid w:val="007C72F7"/>
    <w:rsid w:val="007D042C"/>
    <w:rsid w:val="007D3AB5"/>
    <w:rsid w:val="007D4413"/>
    <w:rsid w:val="007D4720"/>
    <w:rsid w:val="007E4F5C"/>
    <w:rsid w:val="007E7B61"/>
    <w:rsid w:val="007F0120"/>
    <w:rsid w:val="007F1B89"/>
    <w:rsid w:val="007F2EA0"/>
    <w:rsid w:val="007F3F2E"/>
    <w:rsid w:val="007F43F2"/>
    <w:rsid w:val="007F4A83"/>
    <w:rsid w:val="007F775D"/>
    <w:rsid w:val="00800BAB"/>
    <w:rsid w:val="00803096"/>
    <w:rsid w:val="008038D8"/>
    <w:rsid w:val="00803B08"/>
    <w:rsid w:val="00804B66"/>
    <w:rsid w:val="00810FEA"/>
    <w:rsid w:val="008119D2"/>
    <w:rsid w:val="00811E4D"/>
    <w:rsid w:val="00814FE0"/>
    <w:rsid w:val="008152AC"/>
    <w:rsid w:val="00816706"/>
    <w:rsid w:val="008175D4"/>
    <w:rsid w:val="00820B76"/>
    <w:rsid w:val="00820E82"/>
    <w:rsid w:val="00823DB5"/>
    <w:rsid w:val="00825244"/>
    <w:rsid w:val="00827A68"/>
    <w:rsid w:val="00827E40"/>
    <w:rsid w:val="00831B06"/>
    <w:rsid w:val="00831B32"/>
    <w:rsid w:val="00831BA1"/>
    <w:rsid w:val="00834BC0"/>
    <w:rsid w:val="00834D0C"/>
    <w:rsid w:val="00834DFC"/>
    <w:rsid w:val="00837B96"/>
    <w:rsid w:val="008401FB"/>
    <w:rsid w:val="00841A42"/>
    <w:rsid w:val="00845647"/>
    <w:rsid w:val="008476B8"/>
    <w:rsid w:val="00850BD4"/>
    <w:rsid w:val="00850D4E"/>
    <w:rsid w:val="00851622"/>
    <w:rsid w:val="0085542B"/>
    <w:rsid w:val="00861985"/>
    <w:rsid w:val="00866C77"/>
    <w:rsid w:val="0087046C"/>
    <w:rsid w:val="00871653"/>
    <w:rsid w:val="00871B32"/>
    <w:rsid w:val="00873C34"/>
    <w:rsid w:val="00873D56"/>
    <w:rsid w:val="00874DC6"/>
    <w:rsid w:val="008753CB"/>
    <w:rsid w:val="008759D5"/>
    <w:rsid w:val="008760A2"/>
    <w:rsid w:val="008777E2"/>
    <w:rsid w:val="00877B59"/>
    <w:rsid w:val="008800C2"/>
    <w:rsid w:val="00882D4E"/>
    <w:rsid w:val="00883187"/>
    <w:rsid w:val="0088454F"/>
    <w:rsid w:val="00884575"/>
    <w:rsid w:val="00887376"/>
    <w:rsid w:val="00887AD4"/>
    <w:rsid w:val="00893EFC"/>
    <w:rsid w:val="00894199"/>
    <w:rsid w:val="00895981"/>
    <w:rsid w:val="0089671F"/>
    <w:rsid w:val="00896A1D"/>
    <w:rsid w:val="008979E2"/>
    <w:rsid w:val="00897B8B"/>
    <w:rsid w:val="00897E61"/>
    <w:rsid w:val="008A0ADE"/>
    <w:rsid w:val="008A2E9E"/>
    <w:rsid w:val="008A36AB"/>
    <w:rsid w:val="008A4278"/>
    <w:rsid w:val="008A7AE4"/>
    <w:rsid w:val="008B0ADE"/>
    <w:rsid w:val="008B0E86"/>
    <w:rsid w:val="008B0EFD"/>
    <w:rsid w:val="008B321B"/>
    <w:rsid w:val="008B4C07"/>
    <w:rsid w:val="008B6A4E"/>
    <w:rsid w:val="008B6DBE"/>
    <w:rsid w:val="008B71ED"/>
    <w:rsid w:val="008C013E"/>
    <w:rsid w:val="008C0366"/>
    <w:rsid w:val="008C0DA0"/>
    <w:rsid w:val="008C15DF"/>
    <w:rsid w:val="008C3CFB"/>
    <w:rsid w:val="008C66FB"/>
    <w:rsid w:val="008D4185"/>
    <w:rsid w:val="008D69A7"/>
    <w:rsid w:val="008D6D59"/>
    <w:rsid w:val="008D6FF8"/>
    <w:rsid w:val="008D7E3D"/>
    <w:rsid w:val="008E0C1F"/>
    <w:rsid w:val="008E244B"/>
    <w:rsid w:val="008E399A"/>
    <w:rsid w:val="008E41DC"/>
    <w:rsid w:val="008E6304"/>
    <w:rsid w:val="008E677E"/>
    <w:rsid w:val="008E7D9D"/>
    <w:rsid w:val="008F0322"/>
    <w:rsid w:val="008F1F56"/>
    <w:rsid w:val="008F31DA"/>
    <w:rsid w:val="008F3B59"/>
    <w:rsid w:val="008F4DD7"/>
    <w:rsid w:val="008F55DA"/>
    <w:rsid w:val="008F635F"/>
    <w:rsid w:val="009018C3"/>
    <w:rsid w:val="0090288E"/>
    <w:rsid w:val="00905ED9"/>
    <w:rsid w:val="009067F2"/>
    <w:rsid w:val="00906A66"/>
    <w:rsid w:val="00907889"/>
    <w:rsid w:val="0090791A"/>
    <w:rsid w:val="00911ED3"/>
    <w:rsid w:val="00911F90"/>
    <w:rsid w:val="00912B2A"/>
    <w:rsid w:val="00915003"/>
    <w:rsid w:val="009157C7"/>
    <w:rsid w:val="00921FB1"/>
    <w:rsid w:val="00925857"/>
    <w:rsid w:val="009267FB"/>
    <w:rsid w:val="009328BC"/>
    <w:rsid w:val="00933F34"/>
    <w:rsid w:val="00934025"/>
    <w:rsid w:val="009360DA"/>
    <w:rsid w:val="009408FA"/>
    <w:rsid w:val="009431E2"/>
    <w:rsid w:val="00943AB4"/>
    <w:rsid w:val="00944C73"/>
    <w:rsid w:val="009505EE"/>
    <w:rsid w:val="009515FA"/>
    <w:rsid w:val="0095178C"/>
    <w:rsid w:val="0095282E"/>
    <w:rsid w:val="00952A49"/>
    <w:rsid w:val="0095483F"/>
    <w:rsid w:val="0095484B"/>
    <w:rsid w:val="009551BD"/>
    <w:rsid w:val="0095794E"/>
    <w:rsid w:val="00960C6D"/>
    <w:rsid w:val="00961232"/>
    <w:rsid w:val="00962903"/>
    <w:rsid w:val="00962DA3"/>
    <w:rsid w:val="00964539"/>
    <w:rsid w:val="00967E79"/>
    <w:rsid w:val="00967E8C"/>
    <w:rsid w:val="009706CD"/>
    <w:rsid w:val="00972CBE"/>
    <w:rsid w:val="00973B23"/>
    <w:rsid w:val="00974F56"/>
    <w:rsid w:val="00975669"/>
    <w:rsid w:val="00976D13"/>
    <w:rsid w:val="00981AB2"/>
    <w:rsid w:val="009829E8"/>
    <w:rsid w:val="0098539E"/>
    <w:rsid w:val="0098734B"/>
    <w:rsid w:val="00987B0C"/>
    <w:rsid w:val="0099111D"/>
    <w:rsid w:val="0099115F"/>
    <w:rsid w:val="009920D6"/>
    <w:rsid w:val="00993237"/>
    <w:rsid w:val="00993565"/>
    <w:rsid w:val="00996DD1"/>
    <w:rsid w:val="009A0C52"/>
    <w:rsid w:val="009A1B29"/>
    <w:rsid w:val="009A1E0B"/>
    <w:rsid w:val="009A291B"/>
    <w:rsid w:val="009A2F7A"/>
    <w:rsid w:val="009A34EE"/>
    <w:rsid w:val="009A46E4"/>
    <w:rsid w:val="009A719B"/>
    <w:rsid w:val="009B0097"/>
    <w:rsid w:val="009B1222"/>
    <w:rsid w:val="009B1282"/>
    <w:rsid w:val="009B1BD4"/>
    <w:rsid w:val="009B2AD1"/>
    <w:rsid w:val="009B3313"/>
    <w:rsid w:val="009B4993"/>
    <w:rsid w:val="009B68F6"/>
    <w:rsid w:val="009C07ED"/>
    <w:rsid w:val="009C0F1C"/>
    <w:rsid w:val="009C0FA6"/>
    <w:rsid w:val="009C2B40"/>
    <w:rsid w:val="009C4C9D"/>
    <w:rsid w:val="009C7280"/>
    <w:rsid w:val="009C7A7E"/>
    <w:rsid w:val="009D2ADE"/>
    <w:rsid w:val="009D5386"/>
    <w:rsid w:val="009D7FE1"/>
    <w:rsid w:val="009E0002"/>
    <w:rsid w:val="009E1D75"/>
    <w:rsid w:val="009E2978"/>
    <w:rsid w:val="009E3C72"/>
    <w:rsid w:val="009E4BB1"/>
    <w:rsid w:val="009E612A"/>
    <w:rsid w:val="009F24DB"/>
    <w:rsid w:val="009F24F0"/>
    <w:rsid w:val="009F691E"/>
    <w:rsid w:val="00A01ADF"/>
    <w:rsid w:val="00A0369C"/>
    <w:rsid w:val="00A047B5"/>
    <w:rsid w:val="00A05A7F"/>
    <w:rsid w:val="00A0668E"/>
    <w:rsid w:val="00A10DFF"/>
    <w:rsid w:val="00A13081"/>
    <w:rsid w:val="00A165BF"/>
    <w:rsid w:val="00A23B27"/>
    <w:rsid w:val="00A23D45"/>
    <w:rsid w:val="00A2596E"/>
    <w:rsid w:val="00A25E8E"/>
    <w:rsid w:val="00A270C3"/>
    <w:rsid w:val="00A305A9"/>
    <w:rsid w:val="00A308B6"/>
    <w:rsid w:val="00A31EED"/>
    <w:rsid w:val="00A31F17"/>
    <w:rsid w:val="00A32276"/>
    <w:rsid w:val="00A32A4B"/>
    <w:rsid w:val="00A32C8C"/>
    <w:rsid w:val="00A35659"/>
    <w:rsid w:val="00A366FF"/>
    <w:rsid w:val="00A36A96"/>
    <w:rsid w:val="00A445B1"/>
    <w:rsid w:val="00A4522D"/>
    <w:rsid w:val="00A475E9"/>
    <w:rsid w:val="00A52BF8"/>
    <w:rsid w:val="00A5750A"/>
    <w:rsid w:val="00A57625"/>
    <w:rsid w:val="00A57FA4"/>
    <w:rsid w:val="00A61949"/>
    <w:rsid w:val="00A62237"/>
    <w:rsid w:val="00A725B5"/>
    <w:rsid w:val="00A73FCE"/>
    <w:rsid w:val="00A74427"/>
    <w:rsid w:val="00A80A92"/>
    <w:rsid w:val="00AA3084"/>
    <w:rsid w:val="00AA36D5"/>
    <w:rsid w:val="00AA53A8"/>
    <w:rsid w:val="00AA5D73"/>
    <w:rsid w:val="00AA69ED"/>
    <w:rsid w:val="00AA7A8D"/>
    <w:rsid w:val="00AB0F5E"/>
    <w:rsid w:val="00AB1021"/>
    <w:rsid w:val="00AB29D9"/>
    <w:rsid w:val="00AB30DE"/>
    <w:rsid w:val="00AB5031"/>
    <w:rsid w:val="00AB5B59"/>
    <w:rsid w:val="00AB7D92"/>
    <w:rsid w:val="00AC0806"/>
    <w:rsid w:val="00AC126F"/>
    <w:rsid w:val="00AC16EE"/>
    <w:rsid w:val="00AC1D4C"/>
    <w:rsid w:val="00AC2A59"/>
    <w:rsid w:val="00AC3F4E"/>
    <w:rsid w:val="00AC7981"/>
    <w:rsid w:val="00AC7EC5"/>
    <w:rsid w:val="00AD1114"/>
    <w:rsid w:val="00AD31F6"/>
    <w:rsid w:val="00AD4C0B"/>
    <w:rsid w:val="00AE084C"/>
    <w:rsid w:val="00AE1A76"/>
    <w:rsid w:val="00AE2805"/>
    <w:rsid w:val="00AE2C50"/>
    <w:rsid w:val="00AE364C"/>
    <w:rsid w:val="00AE6A34"/>
    <w:rsid w:val="00AE6B5D"/>
    <w:rsid w:val="00AF0C51"/>
    <w:rsid w:val="00AF1813"/>
    <w:rsid w:val="00AF398D"/>
    <w:rsid w:val="00AF51D1"/>
    <w:rsid w:val="00AF523D"/>
    <w:rsid w:val="00B01F9F"/>
    <w:rsid w:val="00B0309A"/>
    <w:rsid w:val="00B06FCB"/>
    <w:rsid w:val="00B12DA3"/>
    <w:rsid w:val="00B15860"/>
    <w:rsid w:val="00B16918"/>
    <w:rsid w:val="00B1772F"/>
    <w:rsid w:val="00B17AF2"/>
    <w:rsid w:val="00B23B2B"/>
    <w:rsid w:val="00B24A0F"/>
    <w:rsid w:val="00B25CF2"/>
    <w:rsid w:val="00B343C7"/>
    <w:rsid w:val="00B34740"/>
    <w:rsid w:val="00B34997"/>
    <w:rsid w:val="00B372DF"/>
    <w:rsid w:val="00B4120B"/>
    <w:rsid w:val="00B4206E"/>
    <w:rsid w:val="00B44421"/>
    <w:rsid w:val="00B4514C"/>
    <w:rsid w:val="00B46DEC"/>
    <w:rsid w:val="00B47B1C"/>
    <w:rsid w:val="00B47B71"/>
    <w:rsid w:val="00B50FDA"/>
    <w:rsid w:val="00B51CA0"/>
    <w:rsid w:val="00B52E23"/>
    <w:rsid w:val="00B53BA9"/>
    <w:rsid w:val="00B56E87"/>
    <w:rsid w:val="00B5744E"/>
    <w:rsid w:val="00B61D82"/>
    <w:rsid w:val="00B62898"/>
    <w:rsid w:val="00B63760"/>
    <w:rsid w:val="00B63B77"/>
    <w:rsid w:val="00B64074"/>
    <w:rsid w:val="00B66140"/>
    <w:rsid w:val="00B6630E"/>
    <w:rsid w:val="00B70B29"/>
    <w:rsid w:val="00B72427"/>
    <w:rsid w:val="00B7273D"/>
    <w:rsid w:val="00B72978"/>
    <w:rsid w:val="00B7347B"/>
    <w:rsid w:val="00B74295"/>
    <w:rsid w:val="00B761F2"/>
    <w:rsid w:val="00B770F0"/>
    <w:rsid w:val="00B7756F"/>
    <w:rsid w:val="00B77C2A"/>
    <w:rsid w:val="00B80D57"/>
    <w:rsid w:val="00B8439F"/>
    <w:rsid w:val="00B8619C"/>
    <w:rsid w:val="00B87FC1"/>
    <w:rsid w:val="00B91A47"/>
    <w:rsid w:val="00B91E19"/>
    <w:rsid w:val="00B92B66"/>
    <w:rsid w:val="00B949AC"/>
    <w:rsid w:val="00B95A26"/>
    <w:rsid w:val="00B9798E"/>
    <w:rsid w:val="00BA3EA3"/>
    <w:rsid w:val="00BA4411"/>
    <w:rsid w:val="00BA4B43"/>
    <w:rsid w:val="00BA5D5C"/>
    <w:rsid w:val="00BA7670"/>
    <w:rsid w:val="00BB07B2"/>
    <w:rsid w:val="00BB085A"/>
    <w:rsid w:val="00BB14F9"/>
    <w:rsid w:val="00BB204F"/>
    <w:rsid w:val="00BB3566"/>
    <w:rsid w:val="00BB4416"/>
    <w:rsid w:val="00BB454B"/>
    <w:rsid w:val="00BB5C73"/>
    <w:rsid w:val="00BC0441"/>
    <w:rsid w:val="00BC17C5"/>
    <w:rsid w:val="00BC3C40"/>
    <w:rsid w:val="00BC7581"/>
    <w:rsid w:val="00BD071D"/>
    <w:rsid w:val="00BD36EC"/>
    <w:rsid w:val="00BD4303"/>
    <w:rsid w:val="00BD4E89"/>
    <w:rsid w:val="00BD5AFB"/>
    <w:rsid w:val="00BE1A67"/>
    <w:rsid w:val="00BE25D3"/>
    <w:rsid w:val="00BE53BA"/>
    <w:rsid w:val="00BE6344"/>
    <w:rsid w:val="00BE6736"/>
    <w:rsid w:val="00BF0677"/>
    <w:rsid w:val="00BF1897"/>
    <w:rsid w:val="00BF19E2"/>
    <w:rsid w:val="00BF206F"/>
    <w:rsid w:val="00BF2546"/>
    <w:rsid w:val="00BF3588"/>
    <w:rsid w:val="00BF3EAA"/>
    <w:rsid w:val="00BF4861"/>
    <w:rsid w:val="00C002F9"/>
    <w:rsid w:val="00C00537"/>
    <w:rsid w:val="00C0241A"/>
    <w:rsid w:val="00C04896"/>
    <w:rsid w:val="00C05782"/>
    <w:rsid w:val="00C06E0C"/>
    <w:rsid w:val="00C07509"/>
    <w:rsid w:val="00C075C6"/>
    <w:rsid w:val="00C1057F"/>
    <w:rsid w:val="00C128D6"/>
    <w:rsid w:val="00C135C3"/>
    <w:rsid w:val="00C140DC"/>
    <w:rsid w:val="00C14123"/>
    <w:rsid w:val="00C14B6B"/>
    <w:rsid w:val="00C1649C"/>
    <w:rsid w:val="00C16FC6"/>
    <w:rsid w:val="00C17998"/>
    <w:rsid w:val="00C2119C"/>
    <w:rsid w:val="00C23342"/>
    <w:rsid w:val="00C239C8"/>
    <w:rsid w:val="00C25E27"/>
    <w:rsid w:val="00C2630E"/>
    <w:rsid w:val="00C27857"/>
    <w:rsid w:val="00C30861"/>
    <w:rsid w:val="00C309BE"/>
    <w:rsid w:val="00C30E34"/>
    <w:rsid w:val="00C3312F"/>
    <w:rsid w:val="00C33C19"/>
    <w:rsid w:val="00C3562C"/>
    <w:rsid w:val="00C36CDB"/>
    <w:rsid w:val="00C36D8E"/>
    <w:rsid w:val="00C41DB9"/>
    <w:rsid w:val="00C42B1B"/>
    <w:rsid w:val="00C42C0E"/>
    <w:rsid w:val="00C44ACE"/>
    <w:rsid w:val="00C473DA"/>
    <w:rsid w:val="00C50A27"/>
    <w:rsid w:val="00C51A0B"/>
    <w:rsid w:val="00C52E68"/>
    <w:rsid w:val="00C54D27"/>
    <w:rsid w:val="00C562B9"/>
    <w:rsid w:val="00C567D7"/>
    <w:rsid w:val="00C56E00"/>
    <w:rsid w:val="00C576CE"/>
    <w:rsid w:val="00C60E13"/>
    <w:rsid w:val="00C6141C"/>
    <w:rsid w:val="00C6254A"/>
    <w:rsid w:val="00C63E7C"/>
    <w:rsid w:val="00C64327"/>
    <w:rsid w:val="00C6586C"/>
    <w:rsid w:val="00C65AA7"/>
    <w:rsid w:val="00C65BB2"/>
    <w:rsid w:val="00C67716"/>
    <w:rsid w:val="00C70704"/>
    <w:rsid w:val="00C722A2"/>
    <w:rsid w:val="00C734CB"/>
    <w:rsid w:val="00C76D38"/>
    <w:rsid w:val="00C77AF3"/>
    <w:rsid w:val="00C84CC8"/>
    <w:rsid w:val="00C8549B"/>
    <w:rsid w:val="00C866F7"/>
    <w:rsid w:val="00C92BC7"/>
    <w:rsid w:val="00C945F5"/>
    <w:rsid w:val="00C97C21"/>
    <w:rsid w:val="00CA2346"/>
    <w:rsid w:val="00CA25A0"/>
    <w:rsid w:val="00CA2649"/>
    <w:rsid w:val="00CA7952"/>
    <w:rsid w:val="00CA7C78"/>
    <w:rsid w:val="00CB18CC"/>
    <w:rsid w:val="00CB3997"/>
    <w:rsid w:val="00CB3FB6"/>
    <w:rsid w:val="00CB50C4"/>
    <w:rsid w:val="00CB53CF"/>
    <w:rsid w:val="00CC13C0"/>
    <w:rsid w:val="00CC195D"/>
    <w:rsid w:val="00CC1AED"/>
    <w:rsid w:val="00CC2BBF"/>
    <w:rsid w:val="00CC5294"/>
    <w:rsid w:val="00CC58ED"/>
    <w:rsid w:val="00CD7FDD"/>
    <w:rsid w:val="00CE342E"/>
    <w:rsid w:val="00CE3C2E"/>
    <w:rsid w:val="00CE4343"/>
    <w:rsid w:val="00CE4DB2"/>
    <w:rsid w:val="00CE5113"/>
    <w:rsid w:val="00CE6118"/>
    <w:rsid w:val="00CF0053"/>
    <w:rsid w:val="00CF1496"/>
    <w:rsid w:val="00CF176F"/>
    <w:rsid w:val="00CF2884"/>
    <w:rsid w:val="00CF3A46"/>
    <w:rsid w:val="00CF444D"/>
    <w:rsid w:val="00CF582C"/>
    <w:rsid w:val="00D00C38"/>
    <w:rsid w:val="00D01405"/>
    <w:rsid w:val="00D02989"/>
    <w:rsid w:val="00D04EF0"/>
    <w:rsid w:val="00D069F0"/>
    <w:rsid w:val="00D10F36"/>
    <w:rsid w:val="00D1370F"/>
    <w:rsid w:val="00D13AE0"/>
    <w:rsid w:val="00D14991"/>
    <w:rsid w:val="00D15A82"/>
    <w:rsid w:val="00D167C6"/>
    <w:rsid w:val="00D20A2B"/>
    <w:rsid w:val="00D20D0C"/>
    <w:rsid w:val="00D2274D"/>
    <w:rsid w:val="00D229B9"/>
    <w:rsid w:val="00D22EC1"/>
    <w:rsid w:val="00D2311A"/>
    <w:rsid w:val="00D246B9"/>
    <w:rsid w:val="00D25090"/>
    <w:rsid w:val="00D25871"/>
    <w:rsid w:val="00D25AC5"/>
    <w:rsid w:val="00D260D8"/>
    <w:rsid w:val="00D304BF"/>
    <w:rsid w:val="00D30B80"/>
    <w:rsid w:val="00D317DC"/>
    <w:rsid w:val="00D33053"/>
    <w:rsid w:val="00D35374"/>
    <w:rsid w:val="00D36A2A"/>
    <w:rsid w:val="00D3715B"/>
    <w:rsid w:val="00D4524E"/>
    <w:rsid w:val="00D4634F"/>
    <w:rsid w:val="00D47D8F"/>
    <w:rsid w:val="00D533A1"/>
    <w:rsid w:val="00D53F04"/>
    <w:rsid w:val="00D555CD"/>
    <w:rsid w:val="00D56F87"/>
    <w:rsid w:val="00D6092B"/>
    <w:rsid w:val="00D60CF3"/>
    <w:rsid w:val="00D61892"/>
    <w:rsid w:val="00D622F4"/>
    <w:rsid w:val="00D648C1"/>
    <w:rsid w:val="00D64EDD"/>
    <w:rsid w:val="00D66CAA"/>
    <w:rsid w:val="00D70537"/>
    <w:rsid w:val="00D706B1"/>
    <w:rsid w:val="00D7326A"/>
    <w:rsid w:val="00D73F6D"/>
    <w:rsid w:val="00D74026"/>
    <w:rsid w:val="00D75105"/>
    <w:rsid w:val="00D77949"/>
    <w:rsid w:val="00D80800"/>
    <w:rsid w:val="00D826BC"/>
    <w:rsid w:val="00D82B84"/>
    <w:rsid w:val="00D82CAB"/>
    <w:rsid w:val="00D83451"/>
    <w:rsid w:val="00D84309"/>
    <w:rsid w:val="00D8466A"/>
    <w:rsid w:val="00D847F3"/>
    <w:rsid w:val="00D85857"/>
    <w:rsid w:val="00D8693D"/>
    <w:rsid w:val="00D8764A"/>
    <w:rsid w:val="00D9021C"/>
    <w:rsid w:val="00D905E6"/>
    <w:rsid w:val="00D91145"/>
    <w:rsid w:val="00D91A4B"/>
    <w:rsid w:val="00D938AF"/>
    <w:rsid w:val="00DA0DC7"/>
    <w:rsid w:val="00DA20D2"/>
    <w:rsid w:val="00DA34E9"/>
    <w:rsid w:val="00DA400E"/>
    <w:rsid w:val="00DA6C13"/>
    <w:rsid w:val="00DB0CA6"/>
    <w:rsid w:val="00DB1B81"/>
    <w:rsid w:val="00DB2061"/>
    <w:rsid w:val="00DB2349"/>
    <w:rsid w:val="00DB5480"/>
    <w:rsid w:val="00DB5EC6"/>
    <w:rsid w:val="00DB62B3"/>
    <w:rsid w:val="00DB6EEE"/>
    <w:rsid w:val="00DB72C1"/>
    <w:rsid w:val="00DB73FB"/>
    <w:rsid w:val="00DB762C"/>
    <w:rsid w:val="00DC5D86"/>
    <w:rsid w:val="00DC7105"/>
    <w:rsid w:val="00DC77E5"/>
    <w:rsid w:val="00DD4C63"/>
    <w:rsid w:val="00DD5041"/>
    <w:rsid w:val="00DD734F"/>
    <w:rsid w:val="00DE38AA"/>
    <w:rsid w:val="00DE48E1"/>
    <w:rsid w:val="00DF03FE"/>
    <w:rsid w:val="00DF0ACA"/>
    <w:rsid w:val="00DF4DF9"/>
    <w:rsid w:val="00DF559D"/>
    <w:rsid w:val="00DF6FDB"/>
    <w:rsid w:val="00E01B7A"/>
    <w:rsid w:val="00E02094"/>
    <w:rsid w:val="00E02C85"/>
    <w:rsid w:val="00E02D14"/>
    <w:rsid w:val="00E0348D"/>
    <w:rsid w:val="00E03511"/>
    <w:rsid w:val="00E03BEE"/>
    <w:rsid w:val="00E04DDE"/>
    <w:rsid w:val="00E060FF"/>
    <w:rsid w:val="00E1024E"/>
    <w:rsid w:val="00E10714"/>
    <w:rsid w:val="00E107AF"/>
    <w:rsid w:val="00E12378"/>
    <w:rsid w:val="00E12D8A"/>
    <w:rsid w:val="00E139FA"/>
    <w:rsid w:val="00E13B48"/>
    <w:rsid w:val="00E16D06"/>
    <w:rsid w:val="00E1798F"/>
    <w:rsid w:val="00E217ED"/>
    <w:rsid w:val="00E21D96"/>
    <w:rsid w:val="00E23B07"/>
    <w:rsid w:val="00E271FC"/>
    <w:rsid w:val="00E31723"/>
    <w:rsid w:val="00E32CF3"/>
    <w:rsid w:val="00E363C6"/>
    <w:rsid w:val="00E366F0"/>
    <w:rsid w:val="00E36D52"/>
    <w:rsid w:val="00E40F78"/>
    <w:rsid w:val="00E4175F"/>
    <w:rsid w:val="00E41AC9"/>
    <w:rsid w:val="00E43383"/>
    <w:rsid w:val="00E44DC6"/>
    <w:rsid w:val="00E4546D"/>
    <w:rsid w:val="00E45587"/>
    <w:rsid w:val="00E45B7F"/>
    <w:rsid w:val="00E531CC"/>
    <w:rsid w:val="00E536D1"/>
    <w:rsid w:val="00E543EE"/>
    <w:rsid w:val="00E54500"/>
    <w:rsid w:val="00E5489B"/>
    <w:rsid w:val="00E552F1"/>
    <w:rsid w:val="00E55553"/>
    <w:rsid w:val="00E5632C"/>
    <w:rsid w:val="00E56F9A"/>
    <w:rsid w:val="00E575FC"/>
    <w:rsid w:val="00E57A07"/>
    <w:rsid w:val="00E6042D"/>
    <w:rsid w:val="00E6043E"/>
    <w:rsid w:val="00E620BE"/>
    <w:rsid w:val="00E63AB4"/>
    <w:rsid w:val="00E64B17"/>
    <w:rsid w:val="00E6522A"/>
    <w:rsid w:val="00E67E0E"/>
    <w:rsid w:val="00E70AFC"/>
    <w:rsid w:val="00E71DEE"/>
    <w:rsid w:val="00E73E1D"/>
    <w:rsid w:val="00E74C1A"/>
    <w:rsid w:val="00E75F66"/>
    <w:rsid w:val="00E76FE5"/>
    <w:rsid w:val="00E77349"/>
    <w:rsid w:val="00E7750F"/>
    <w:rsid w:val="00E77E9E"/>
    <w:rsid w:val="00E81984"/>
    <w:rsid w:val="00E82F06"/>
    <w:rsid w:val="00E8419D"/>
    <w:rsid w:val="00E84F8F"/>
    <w:rsid w:val="00E87098"/>
    <w:rsid w:val="00E91971"/>
    <w:rsid w:val="00E91EB2"/>
    <w:rsid w:val="00E93891"/>
    <w:rsid w:val="00E94BF7"/>
    <w:rsid w:val="00E95870"/>
    <w:rsid w:val="00E96AA8"/>
    <w:rsid w:val="00E978C1"/>
    <w:rsid w:val="00EA087B"/>
    <w:rsid w:val="00EA3854"/>
    <w:rsid w:val="00EA46E0"/>
    <w:rsid w:val="00EA4927"/>
    <w:rsid w:val="00EA5475"/>
    <w:rsid w:val="00EA568C"/>
    <w:rsid w:val="00EA68EF"/>
    <w:rsid w:val="00EA75DC"/>
    <w:rsid w:val="00EB4074"/>
    <w:rsid w:val="00EB5064"/>
    <w:rsid w:val="00EB5500"/>
    <w:rsid w:val="00EB5FE4"/>
    <w:rsid w:val="00EB73E2"/>
    <w:rsid w:val="00EC080B"/>
    <w:rsid w:val="00EC1493"/>
    <w:rsid w:val="00EC2335"/>
    <w:rsid w:val="00EC3A2F"/>
    <w:rsid w:val="00EC3B04"/>
    <w:rsid w:val="00EC6C47"/>
    <w:rsid w:val="00EC710B"/>
    <w:rsid w:val="00ED081A"/>
    <w:rsid w:val="00ED127D"/>
    <w:rsid w:val="00ED1D73"/>
    <w:rsid w:val="00ED26F7"/>
    <w:rsid w:val="00ED30D2"/>
    <w:rsid w:val="00ED3A4C"/>
    <w:rsid w:val="00ED6032"/>
    <w:rsid w:val="00ED7168"/>
    <w:rsid w:val="00ED766B"/>
    <w:rsid w:val="00EE0D8E"/>
    <w:rsid w:val="00EE0EF1"/>
    <w:rsid w:val="00EE3BFF"/>
    <w:rsid w:val="00EE401B"/>
    <w:rsid w:val="00EE4CAB"/>
    <w:rsid w:val="00EE5B30"/>
    <w:rsid w:val="00EE5FF5"/>
    <w:rsid w:val="00EE6773"/>
    <w:rsid w:val="00EE6C36"/>
    <w:rsid w:val="00EE773A"/>
    <w:rsid w:val="00EF4E3A"/>
    <w:rsid w:val="00EF6EF2"/>
    <w:rsid w:val="00EF7175"/>
    <w:rsid w:val="00F00FDA"/>
    <w:rsid w:val="00F01F6D"/>
    <w:rsid w:val="00F0755C"/>
    <w:rsid w:val="00F07B73"/>
    <w:rsid w:val="00F11B57"/>
    <w:rsid w:val="00F14C2B"/>
    <w:rsid w:val="00F152A3"/>
    <w:rsid w:val="00F17846"/>
    <w:rsid w:val="00F20197"/>
    <w:rsid w:val="00F2199E"/>
    <w:rsid w:val="00F236A4"/>
    <w:rsid w:val="00F3011C"/>
    <w:rsid w:val="00F30CA4"/>
    <w:rsid w:val="00F32455"/>
    <w:rsid w:val="00F337DF"/>
    <w:rsid w:val="00F34724"/>
    <w:rsid w:val="00F37542"/>
    <w:rsid w:val="00F37E8C"/>
    <w:rsid w:val="00F4145C"/>
    <w:rsid w:val="00F453F8"/>
    <w:rsid w:val="00F45467"/>
    <w:rsid w:val="00F46D7C"/>
    <w:rsid w:val="00F47B1A"/>
    <w:rsid w:val="00F51E98"/>
    <w:rsid w:val="00F55B35"/>
    <w:rsid w:val="00F56538"/>
    <w:rsid w:val="00F57581"/>
    <w:rsid w:val="00F57A49"/>
    <w:rsid w:val="00F57E5F"/>
    <w:rsid w:val="00F6006A"/>
    <w:rsid w:val="00F61199"/>
    <w:rsid w:val="00F6162D"/>
    <w:rsid w:val="00F623A5"/>
    <w:rsid w:val="00F64EE6"/>
    <w:rsid w:val="00F670FF"/>
    <w:rsid w:val="00F67440"/>
    <w:rsid w:val="00F67BE7"/>
    <w:rsid w:val="00F7039A"/>
    <w:rsid w:val="00F75C6E"/>
    <w:rsid w:val="00F76088"/>
    <w:rsid w:val="00F76C61"/>
    <w:rsid w:val="00F8041C"/>
    <w:rsid w:val="00F82380"/>
    <w:rsid w:val="00F8414C"/>
    <w:rsid w:val="00F85775"/>
    <w:rsid w:val="00F858F6"/>
    <w:rsid w:val="00F90015"/>
    <w:rsid w:val="00F9123C"/>
    <w:rsid w:val="00F94ADE"/>
    <w:rsid w:val="00F97576"/>
    <w:rsid w:val="00FA2269"/>
    <w:rsid w:val="00FA22E3"/>
    <w:rsid w:val="00FA25DB"/>
    <w:rsid w:val="00FA2C6B"/>
    <w:rsid w:val="00FA3C5B"/>
    <w:rsid w:val="00FA40B3"/>
    <w:rsid w:val="00FA4501"/>
    <w:rsid w:val="00FA4C40"/>
    <w:rsid w:val="00FA4DB3"/>
    <w:rsid w:val="00FA5ACB"/>
    <w:rsid w:val="00FA6D24"/>
    <w:rsid w:val="00FB127B"/>
    <w:rsid w:val="00FB1B37"/>
    <w:rsid w:val="00FB34D6"/>
    <w:rsid w:val="00FB52F1"/>
    <w:rsid w:val="00FB6D8B"/>
    <w:rsid w:val="00FB74BD"/>
    <w:rsid w:val="00FC0028"/>
    <w:rsid w:val="00FC0A8A"/>
    <w:rsid w:val="00FC1BA8"/>
    <w:rsid w:val="00FC3E03"/>
    <w:rsid w:val="00FC4B0F"/>
    <w:rsid w:val="00FC4D2D"/>
    <w:rsid w:val="00FC51DF"/>
    <w:rsid w:val="00FC6587"/>
    <w:rsid w:val="00FD0D73"/>
    <w:rsid w:val="00FD3C09"/>
    <w:rsid w:val="00FD5A49"/>
    <w:rsid w:val="00FD6400"/>
    <w:rsid w:val="00FE2CE4"/>
    <w:rsid w:val="00FE3472"/>
    <w:rsid w:val="00FE4830"/>
    <w:rsid w:val="00FE75FD"/>
    <w:rsid w:val="00FE7C27"/>
    <w:rsid w:val="00FF017B"/>
    <w:rsid w:val="00FF0228"/>
    <w:rsid w:val="00FF080B"/>
    <w:rsid w:val="00FF235C"/>
    <w:rsid w:val="00FF2534"/>
    <w:rsid w:val="00FF36D5"/>
    <w:rsid w:val="00FF4143"/>
    <w:rsid w:val="00FF4A55"/>
    <w:rsid w:val="00FF6D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FB9A"/>
  <w15:chartTrackingRefBased/>
  <w15:docId w15:val="{841C8B97-A9D0-4613-A43B-4795E10F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46693"/>
    <w:pPr>
      <w:keepNext/>
      <w:overflowPunct w:val="0"/>
      <w:autoSpaceDE w:val="0"/>
      <w:autoSpaceDN w:val="0"/>
      <w:adjustRightInd w:val="0"/>
      <w:spacing w:after="0" w:line="240" w:lineRule="auto"/>
      <w:jc w:val="center"/>
      <w:outlineLvl w:val="0"/>
    </w:pPr>
    <w:rPr>
      <w:rFonts w:ascii="Times New Roman" w:eastAsia="Arial Unicode MS" w:hAnsi="Times New Roman"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03FE"/>
    <w:pPr>
      <w:ind w:left="720"/>
      <w:contextualSpacing/>
    </w:pPr>
  </w:style>
  <w:style w:type="character" w:styleId="Hipersaitas">
    <w:name w:val="Hyperlink"/>
    <w:basedOn w:val="Numatytasispastraiposriftas"/>
    <w:uiPriority w:val="99"/>
    <w:unhideWhenUsed/>
    <w:rsid w:val="00110500"/>
    <w:rPr>
      <w:color w:val="0563C1" w:themeColor="hyperlink"/>
      <w:u w:val="single"/>
    </w:rPr>
  </w:style>
  <w:style w:type="character" w:styleId="Neapdorotaspaminjimas">
    <w:name w:val="Unresolved Mention"/>
    <w:basedOn w:val="Numatytasispastraiposriftas"/>
    <w:uiPriority w:val="99"/>
    <w:semiHidden/>
    <w:unhideWhenUsed/>
    <w:rsid w:val="00110500"/>
    <w:rPr>
      <w:color w:val="605E5C"/>
      <w:shd w:val="clear" w:color="auto" w:fill="E1DFDD"/>
    </w:rPr>
  </w:style>
  <w:style w:type="paragraph" w:styleId="Puslapioinaostekstas">
    <w:name w:val="footnote text"/>
    <w:basedOn w:val="prastasis"/>
    <w:link w:val="PuslapioinaostekstasDiagrama"/>
    <w:uiPriority w:val="99"/>
    <w:semiHidden/>
    <w:unhideWhenUsed/>
    <w:rsid w:val="0011050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10500"/>
    <w:rPr>
      <w:sz w:val="20"/>
      <w:szCs w:val="20"/>
    </w:rPr>
  </w:style>
  <w:style w:type="character" w:styleId="Puslapioinaosnuoroda">
    <w:name w:val="footnote reference"/>
    <w:basedOn w:val="Numatytasispastraiposriftas"/>
    <w:uiPriority w:val="99"/>
    <w:semiHidden/>
    <w:unhideWhenUsed/>
    <w:rsid w:val="00110500"/>
    <w:rPr>
      <w:vertAlign w:val="superscript"/>
    </w:rPr>
  </w:style>
  <w:style w:type="paragraph" w:styleId="Antrats">
    <w:name w:val="header"/>
    <w:basedOn w:val="prastasis"/>
    <w:link w:val="AntratsDiagrama"/>
    <w:uiPriority w:val="99"/>
    <w:unhideWhenUsed/>
    <w:rsid w:val="00C16FC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6FC6"/>
  </w:style>
  <w:style w:type="paragraph" w:styleId="Porat">
    <w:name w:val="footer"/>
    <w:basedOn w:val="prastasis"/>
    <w:link w:val="PoratDiagrama"/>
    <w:uiPriority w:val="99"/>
    <w:unhideWhenUsed/>
    <w:rsid w:val="00C16FC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6FC6"/>
  </w:style>
  <w:style w:type="character" w:customStyle="1" w:styleId="Antrat1Diagrama">
    <w:name w:val="Antraštė 1 Diagrama"/>
    <w:basedOn w:val="Numatytasispastraiposriftas"/>
    <w:link w:val="Antrat1"/>
    <w:rsid w:val="00646693"/>
    <w:rPr>
      <w:rFonts w:ascii="Times New Roman" w:eastAsia="Arial Unicode MS" w:hAnsi="Times New Roman" w:cs="Times New Roman"/>
      <w:b/>
      <w:sz w:val="24"/>
      <w:szCs w:val="20"/>
    </w:rPr>
  </w:style>
  <w:style w:type="paragraph" w:customStyle="1" w:styleId="Default">
    <w:name w:val="Default"/>
    <w:rsid w:val="007A53D5"/>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table" w:styleId="1tinkleliolentelviesi-1parykinimas">
    <w:name w:val="Grid Table 1 Light Accent 1"/>
    <w:basedOn w:val="prastojilentel"/>
    <w:uiPriority w:val="46"/>
    <w:rsid w:val="007A53D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prastasiniatinklio">
    <w:name w:val="Normal (Web)"/>
    <w:basedOn w:val="prastasis"/>
    <w:uiPriority w:val="99"/>
    <w:semiHidden/>
    <w:unhideWhenUsed/>
    <w:rsid w:val="009B499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LCTekstas">
    <w:name w:val="LLCTekstas"/>
    <w:rsid w:val="00432301"/>
  </w:style>
  <w:style w:type="character" w:styleId="Perirtashipersaitas">
    <w:name w:val="FollowedHyperlink"/>
    <w:basedOn w:val="Numatytasispastraiposriftas"/>
    <w:uiPriority w:val="99"/>
    <w:semiHidden/>
    <w:unhideWhenUsed/>
    <w:rsid w:val="002F4A7E"/>
    <w:rPr>
      <w:color w:val="954F72" w:themeColor="followedHyperlink"/>
      <w:u w:val="single"/>
    </w:rPr>
  </w:style>
  <w:style w:type="character" w:styleId="Komentaronuoroda">
    <w:name w:val="annotation reference"/>
    <w:basedOn w:val="Numatytasispastraiposriftas"/>
    <w:uiPriority w:val="99"/>
    <w:semiHidden/>
    <w:unhideWhenUsed/>
    <w:rsid w:val="002044B8"/>
    <w:rPr>
      <w:sz w:val="16"/>
      <w:szCs w:val="16"/>
    </w:rPr>
  </w:style>
  <w:style w:type="paragraph" w:styleId="Komentarotekstas">
    <w:name w:val="annotation text"/>
    <w:basedOn w:val="prastasis"/>
    <w:link w:val="KomentarotekstasDiagrama"/>
    <w:uiPriority w:val="99"/>
    <w:unhideWhenUsed/>
    <w:rsid w:val="002044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044B8"/>
    <w:rPr>
      <w:sz w:val="20"/>
      <w:szCs w:val="20"/>
    </w:rPr>
  </w:style>
  <w:style w:type="paragraph" w:styleId="Komentarotema">
    <w:name w:val="annotation subject"/>
    <w:basedOn w:val="Komentarotekstas"/>
    <w:next w:val="Komentarotekstas"/>
    <w:link w:val="KomentarotemaDiagrama"/>
    <w:uiPriority w:val="99"/>
    <w:semiHidden/>
    <w:unhideWhenUsed/>
    <w:rsid w:val="002044B8"/>
    <w:rPr>
      <w:b/>
      <w:bCs/>
    </w:rPr>
  </w:style>
  <w:style w:type="character" w:customStyle="1" w:styleId="KomentarotemaDiagrama">
    <w:name w:val="Komentaro tema Diagrama"/>
    <w:basedOn w:val="KomentarotekstasDiagrama"/>
    <w:link w:val="Komentarotema"/>
    <w:uiPriority w:val="99"/>
    <w:semiHidden/>
    <w:rsid w:val="002044B8"/>
    <w:rPr>
      <w:b/>
      <w:bCs/>
      <w:sz w:val="20"/>
      <w:szCs w:val="20"/>
    </w:rPr>
  </w:style>
  <w:style w:type="paragraph" w:styleId="Debesliotekstas">
    <w:name w:val="Balloon Text"/>
    <w:basedOn w:val="prastasis"/>
    <w:link w:val="DebesliotekstasDiagrama"/>
    <w:uiPriority w:val="99"/>
    <w:semiHidden/>
    <w:unhideWhenUsed/>
    <w:rsid w:val="002044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44B8"/>
    <w:rPr>
      <w:rFonts w:ascii="Segoe UI" w:hAnsi="Segoe UI" w:cs="Segoe UI"/>
      <w:sz w:val="18"/>
      <w:szCs w:val="18"/>
    </w:rPr>
  </w:style>
  <w:style w:type="table" w:styleId="Lentelstinklelis">
    <w:name w:val="Table Grid"/>
    <w:basedOn w:val="prastojilentel"/>
    <w:uiPriority w:val="39"/>
    <w:rsid w:val="00B80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5parykinimas">
    <w:name w:val="Grid Table 1 Light Accent 5"/>
    <w:basedOn w:val="prastojilentel"/>
    <w:uiPriority w:val="46"/>
    <w:rsid w:val="00B80D5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Pataisymai">
    <w:name w:val="Revision"/>
    <w:hidden/>
    <w:uiPriority w:val="99"/>
    <w:semiHidden/>
    <w:rsid w:val="006746EE"/>
    <w:pPr>
      <w:spacing w:after="0" w:line="240" w:lineRule="auto"/>
    </w:pPr>
  </w:style>
  <w:style w:type="table" w:styleId="4sraolentel5parykinimas">
    <w:name w:val="List Table 4 Accent 5"/>
    <w:basedOn w:val="prastojilentel"/>
    <w:uiPriority w:val="49"/>
    <w:rsid w:val="0055337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tinkleliolentel5parykinimas">
    <w:name w:val="Grid Table 4 Accent 5"/>
    <w:basedOn w:val="prastojilentel"/>
    <w:uiPriority w:val="49"/>
    <w:rsid w:val="0065636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tinkleliolentel5parykinimas">
    <w:name w:val="Grid Table 2 Accent 5"/>
    <w:basedOn w:val="prastojilentel"/>
    <w:uiPriority w:val="47"/>
    <w:rsid w:val="0065636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0126">
      <w:bodyDiv w:val="1"/>
      <w:marLeft w:val="0"/>
      <w:marRight w:val="0"/>
      <w:marTop w:val="0"/>
      <w:marBottom w:val="0"/>
      <w:divBdr>
        <w:top w:val="none" w:sz="0" w:space="0" w:color="auto"/>
        <w:left w:val="none" w:sz="0" w:space="0" w:color="auto"/>
        <w:bottom w:val="none" w:sz="0" w:space="0" w:color="auto"/>
        <w:right w:val="none" w:sz="0" w:space="0" w:color="auto"/>
      </w:divBdr>
    </w:div>
    <w:div w:id="85688296">
      <w:bodyDiv w:val="1"/>
      <w:marLeft w:val="0"/>
      <w:marRight w:val="0"/>
      <w:marTop w:val="0"/>
      <w:marBottom w:val="0"/>
      <w:divBdr>
        <w:top w:val="none" w:sz="0" w:space="0" w:color="auto"/>
        <w:left w:val="none" w:sz="0" w:space="0" w:color="auto"/>
        <w:bottom w:val="none" w:sz="0" w:space="0" w:color="auto"/>
        <w:right w:val="none" w:sz="0" w:space="0" w:color="auto"/>
      </w:divBdr>
    </w:div>
    <w:div w:id="198519670">
      <w:bodyDiv w:val="1"/>
      <w:marLeft w:val="0"/>
      <w:marRight w:val="0"/>
      <w:marTop w:val="0"/>
      <w:marBottom w:val="0"/>
      <w:divBdr>
        <w:top w:val="none" w:sz="0" w:space="0" w:color="auto"/>
        <w:left w:val="none" w:sz="0" w:space="0" w:color="auto"/>
        <w:bottom w:val="none" w:sz="0" w:space="0" w:color="auto"/>
        <w:right w:val="none" w:sz="0" w:space="0" w:color="auto"/>
      </w:divBdr>
    </w:div>
    <w:div w:id="268052318">
      <w:bodyDiv w:val="1"/>
      <w:marLeft w:val="0"/>
      <w:marRight w:val="0"/>
      <w:marTop w:val="0"/>
      <w:marBottom w:val="0"/>
      <w:divBdr>
        <w:top w:val="none" w:sz="0" w:space="0" w:color="auto"/>
        <w:left w:val="none" w:sz="0" w:space="0" w:color="auto"/>
        <w:bottom w:val="none" w:sz="0" w:space="0" w:color="auto"/>
        <w:right w:val="none" w:sz="0" w:space="0" w:color="auto"/>
      </w:divBdr>
      <w:divsChild>
        <w:div w:id="1335768809">
          <w:marLeft w:val="446"/>
          <w:marRight w:val="0"/>
          <w:marTop w:val="0"/>
          <w:marBottom w:val="0"/>
          <w:divBdr>
            <w:top w:val="none" w:sz="0" w:space="0" w:color="auto"/>
            <w:left w:val="none" w:sz="0" w:space="0" w:color="auto"/>
            <w:bottom w:val="none" w:sz="0" w:space="0" w:color="auto"/>
            <w:right w:val="none" w:sz="0" w:space="0" w:color="auto"/>
          </w:divBdr>
        </w:div>
      </w:divsChild>
    </w:div>
    <w:div w:id="671223199">
      <w:bodyDiv w:val="1"/>
      <w:marLeft w:val="0"/>
      <w:marRight w:val="0"/>
      <w:marTop w:val="0"/>
      <w:marBottom w:val="0"/>
      <w:divBdr>
        <w:top w:val="none" w:sz="0" w:space="0" w:color="auto"/>
        <w:left w:val="none" w:sz="0" w:space="0" w:color="auto"/>
        <w:bottom w:val="none" w:sz="0" w:space="0" w:color="auto"/>
        <w:right w:val="none" w:sz="0" w:space="0" w:color="auto"/>
      </w:divBdr>
    </w:div>
    <w:div w:id="785200121">
      <w:bodyDiv w:val="1"/>
      <w:marLeft w:val="0"/>
      <w:marRight w:val="0"/>
      <w:marTop w:val="0"/>
      <w:marBottom w:val="0"/>
      <w:divBdr>
        <w:top w:val="none" w:sz="0" w:space="0" w:color="auto"/>
        <w:left w:val="none" w:sz="0" w:space="0" w:color="auto"/>
        <w:bottom w:val="none" w:sz="0" w:space="0" w:color="auto"/>
        <w:right w:val="none" w:sz="0" w:space="0" w:color="auto"/>
      </w:divBdr>
    </w:div>
    <w:div w:id="1148328754">
      <w:bodyDiv w:val="1"/>
      <w:marLeft w:val="0"/>
      <w:marRight w:val="0"/>
      <w:marTop w:val="0"/>
      <w:marBottom w:val="0"/>
      <w:divBdr>
        <w:top w:val="none" w:sz="0" w:space="0" w:color="auto"/>
        <w:left w:val="none" w:sz="0" w:space="0" w:color="auto"/>
        <w:bottom w:val="none" w:sz="0" w:space="0" w:color="auto"/>
        <w:right w:val="none" w:sz="0" w:space="0" w:color="auto"/>
      </w:divBdr>
    </w:div>
    <w:div w:id="1732072665">
      <w:bodyDiv w:val="1"/>
      <w:marLeft w:val="0"/>
      <w:marRight w:val="0"/>
      <w:marTop w:val="0"/>
      <w:marBottom w:val="0"/>
      <w:divBdr>
        <w:top w:val="none" w:sz="0" w:space="0" w:color="auto"/>
        <w:left w:val="none" w:sz="0" w:space="0" w:color="auto"/>
        <w:bottom w:val="none" w:sz="0" w:space="0" w:color="auto"/>
        <w:right w:val="none" w:sz="0" w:space="0" w:color="auto"/>
      </w:divBdr>
    </w:div>
    <w:div w:id="1753889100">
      <w:bodyDiv w:val="1"/>
      <w:marLeft w:val="0"/>
      <w:marRight w:val="0"/>
      <w:marTop w:val="0"/>
      <w:marBottom w:val="0"/>
      <w:divBdr>
        <w:top w:val="none" w:sz="0" w:space="0" w:color="auto"/>
        <w:left w:val="none" w:sz="0" w:space="0" w:color="auto"/>
        <w:bottom w:val="none" w:sz="0" w:space="0" w:color="auto"/>
        <w:right w:val="none" w:sz="0" w:space="0" w:color="auto"/>
      </w:divBdr>
    </w:div>
    <w:div w:id="203496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k.lt/veikla/veiklos-sritys/paslaugu-kontrole/Documents/1222%20D%C4%97l%202017%20m.%20prioritetini%C5%B3%20TLK%20vykdomos%20kontrol%C4%97s%20kryp%C4%8Di%C5%B3%20tvirtinimo.pdf" TargetMode="External"/><Relationship Id="rId13" Type="http://schemas.openxmlformats.org/officeDocument/2006/relationships/chart" Target="charts/chart5.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goniukasa.lrv.lt/"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forms.office.com/Pages/ResponsePage.aspx?id=Ne7mBxRokEeGaYB2dpTCjaz_pMrz-KNEn8HewDM9E1pUMVVISFpTR0IzWjZRQzcwWUJaQ0g0RFVBSC4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Microsoft%20Word%20diagrama"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geditole\Desktop\KONTROL&#278;\ATASKAITOS\2024\diagramos\9%20pav..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ligoniukasa-my.sharepoint.com/personal/gediminas_toleikis_vlk_lt/Documents/Darbalaukis/KONTROL&#278;/ATASKAITOS/2024/diagramos/10%20pav..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oleObject" Target="Microsoft%20Word%20diagrama"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geditole\Desktop\KONTROL&#278;\ATASKAITOS\2024\2024%20EKSPERTIZ&#278;S%20PA&#381;YM&#370;%20IR%20NEATITIK&#268;I&#370;%20SUVESTIN&#278;_25-02-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geditole\Desktop\KONTROL&#278;\ATASKAITOS\2024\2024%20EKSPERTIZ&#278;S%20PA&#381;YM&#370;%20IR%20NEATITIK&#268;I&#370;%20SUVESTIN&#278;_25-02-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geditole\Desktop\KONTROL&#278;\ATASKAITOS\2024\3%20priedas\VLK%203%20prieda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geditole\Desktop\KONTROL&#278;\ATASKAITOS\2024\diagramos\6%20paveiksl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geditole\Desktop\KONTROL&#278;\ATASKAITOS\2024\diagramos\7%20paveiksla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geditole\Desktop\KONTROL&#278;\ATASKAITOS\2024\diagramos\8%20paveiksla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1380794342855895E-2"/>
          <c:y val="2.653391152192933E-2"/>
          <c:w val="0.91417487690071797"/>
          <c:h val="0.72428316025714179"/>
        </c:manualLayout>
      </c:layout>
      <c:barChart>
        <c:barDir val="col"/>
        <c:grouping val="clustered"/>
        <c:varyColors val="0"/>
        <c:ser>
          <c:idx val="0"/>
          <c:order val="0"/>
          <c:tx>
            <c:strRef>
              <c:f>'[Microsoft Word diagrama]Lapas3'!$B$14</c:f>
              <c:strCache>
                <c:ptCount val="1"/>
                <c:pt idx="0">
                  <c:v>Nustatyta žala PSDF biudžetui (Eur)</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diagrama]Lapas3'!$C$13:$G$13</c:f>
              <c:strCache>
                <c:ptCount val="5"/>
                <c:pt idx="0">
                  <c:v>Vilniaus TLK</c:v>
                </c:pt>
                <c:pt idx="1">
                  <c:v>Kauno TLK</c:v>
                </c:pt>
                <c:pt idx="2">
                  <c:v>Klaipėdos TLK</c:v>
                </c:pt>
                <c:pt idx="3">
                  <c:v>Šiaulių TLK</c:v>
                </c:pt>
                <c:pt idx="4">
                  <c:v> Panevėžio TLK</c:v>
                </c:pt>
              </c:strCache>
            </c:strRef>
          </c:cat>
          <c:val>
            <c:numRef>
              <c:f>'[Microsoft Word diagrama]Lapas3'!$C$14:$G$14</c:f>
              <c:numCache>
                <c:formatCode>#,##0</c:formatCode>
                <c:ptCount val="5"/>
                <c:pt idx="0">
                  <c:v>914500.77</c:v>
                </c:pt>
                <c:pt idx="1">
                  <c:v>247458.03</c:v>
                </c:pt>
                <c:pt idx="2">
                  <c:v>815723.17</c:v>
                </c:pt>
                <c:pt idx="3">
                  <c:v>71317.27</c:v>
                </c:pt>
                <c:pt idx="4">
                  <c:v>197472.53</c:v>
                </c:pt>
              </c:numCache>
            </c:numRef>
          </c:val>
          <c:extLst>
            <c:ext xmlns:c16="http://schemas.microsoft.com/office/drawing/2014/chart" uri="{C3380CC4-5D6E-409C-BE32-E72D297353CC}">
              <c16:uniqueId val="{00000000-3ED6-4C1C-BC85-CD19835946C9}"/>
            </c:ext>
          </c:extLst>
        </c:ser>
        <c:ser>
          <c:idx val="1"/>
          <c:order val="1"/>
          <c:tx>
            <c:strRef>
              <c:f>'[Microsoft Word diagrama]Lapas3'!$B$15</c:f>
              <c:strCache>
                <c:ptCount val="1"/>
                <c:pt idx="0">
                  <c:v>Išvengtos žalos PSDF biudžetui dydis (balais)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diagrama]Lapas3'!$C$13:$G$13</c:f>
              <c:strCache>
                <c:ptCount val="5"/>
                <c:pt idx="0">
                  <c:v>Vilniaus TLK</c:v>
                </c:pt>
                <c:pt idx="1">
                  <c:v>Kauno TLK</c:v>
                </c:pt>
                <c:pt idx="2">
                  <c:v>Klaipėdos TLK</c:v>
                </c:pt>
                <c:pt idx="3">
                  <c:v>Šiaulių TLK</c:v>
                </c:pt>
                <c:pt idx="4">
                  <c:v> Panevėžio TLK</c:v>
                </c:pt>
              </c:strCache>
            </c:strRef>
          </c:cat>
          <c:val>
            <c:numRef>
              <c:f>'[Microsoft Word diagrama]Lapas3'!$C$15:$G$15</c:f>
              <c:numCache>
                <c:formatCode>#,##0</c:formatCode>
                <c:ptCount val="5"/>
                <c:pt idx="0">
                  <c:v>1962314.16</c:v>
                </c:pt>
                <c:pt idx="1">
                  <c:v>3116560.54</c:v>
                </c:pt>
                <c:pt idx="2">
                  <c:v>436738.35</c:v>
                </c:pt>
                <c:pt idx="3">
                  <c:v>321318.62</c:v>
                </c:pt>
                <c:pt idx="4">
                  <c:v>520996.29</c:v>
                </c:pt>
              </c:numCache>
            </c:numRef>
          </c:val>
          <c:extLst>
            <c:ext xmlns:c16="http://schemas.microsoft.com/office/drawing/2014/chart" uri="{C3380CC4-5D6E-409C-BE32-E72D297353CC}">
              <c16:uniqueId val="{00000001-3ED6-4C1C-BC85-CD19835946C9}"/>
            </c:ext>
          </c:extLst>
        </c:ser>
        <c:dLbls>
          <c:dLblPos val="outEnd"/>
          <c:showLegendKey val="0"/>
          <c:showVal val="1"/>
          <c:showCatName val="0"/>
          <c:showSerName val="0"/>
          <c:showPercent val="0"/>
          <c:showBubbleSize val="0"/>
        </c:dLbls>
        <c:gapWidth val="219"/>
        <c:overlap val="-27"/>
        <c:axId val="2068064448"/>
        <c:axId val="2077095008"/>
      </c:barChart>
      <c:catAx>
        <c:axId val="20680644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2077095008"/>
        <c:crosses val="autoZero"/>
        <c:auto val="1"/>
        <c:lblAlgn val="ctr"/>
        <c:lblOffset val="100"/>
        <c:noMultiLvlLbl val="0"/>
      </c:catAx>
      <c:valAx>
        <c:axId val="2077095008"/>
        <c:scaling>
          <c:orientation val="minMax"/>
        </c:scaling>
        <c:delete val="1"/>
        <c:axPos val="l"/>
        <c:numFmt formatCode="#,##0" sourceLinked="1"/>
        <c:majorTickMark val="out"/>
        <c:minorTickMark val="none"/>
        <c:tickLblPos val="nextTo"/>
        <c:crossAx val="2068064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lt1"/>
    </a:solidFill>
    <a:ln w="12700" cap="flat" cmpd="sng" algn="ctr">
      <a:solidFill>
        <a:schemeClr val="accent6"/>
      </a:solidFill>
      <a:prstDash val="solid"/>
      <a:miter lim="800000"/>
    </a:ln>
    <a:effectLst/>
  </c:spPr>
  <c:txPr>
    <a:bodyPr/>
    <a:lstStyle/>
    <a:p>
      <a:pPr>
        <a:defRPr b="1">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Lapas3!$D$98</c:f>
              <c:strCache>
                <c:ptCount val="1"/>
                <c:pt idx="0">
                  <c:v>2020 m.</c:v>
                </c:pt>
              </c:strCache>
            </c:strRef>
          </c:tx>
          <c:spPr>
            <a:solidFill>
              <a:schemeClr val="accent1"/>
            </a:solidFill>
            <a:ln>
              <a:noFill/>
            </a:ln>
            <a:effectLst/>
          </c:spPr>
          <c:invertIfNegative val="0"/>
          <c:cat>
            <c:strRef>
              <c:f>Lapas3!$C$99:$C$104</c:f>
              <c:strCache>
                <c:ptCount val="6"/>
                <c:pt idx="0">
                  <c:v>Vilniaus TLK</c:v>
                </c:pt>
                <c:pt idx="1">
                  <c:v>Kauno TLK</c:v>
                </c:pt>
                <c:pt idx="2">
                  <c:v>Klaipėdos TLK</c:v>
                </c:pt>
                <c:pt idx="3">
                  <c:v>Šiaulių TLK</c:v>
                </c:pt>
                <c:pt idx="4">
                  <c:v>Panevėžio TLK</c:v>
                </c:pt>
                <c:pt idx="5">
                  <c:v>Šalies mastu</c:v>
                </c:pt>
              </c:strCache>
            </c:strRef>
          </c:cat>
          <c:val>
            <c:numRef>
              <c:f>Lapas3!$D$99:$D$104</c:f>
              <c:numCache>
                <c:formatCode>0%</c:formatCode>
                <c:ptCount val="6"/>
                <c:pt idx="0">
                  <c:v>0.1</c:v>
                </c:pt>
                <c:pt idx="1">
                  <c:v>0.1</c:v>
                </c:pt>
                <c:pt idx="2">
                  <c:v>0.02</c:v>
                </c:pt>
                <c:pt idx="3">
                  <c:v>0.08</c:v>
                </c:pt>
                <c:pt idx="4">
                  <c:v>0.19</c:v>
                </c:pt>
                <c:pt idx="5">
                  <c:v>0.11</c:v>
                </c:pt>
              </c:numCache>
            </c:numRef>
          </c:val>
          <c:extLst>
            <c:ext xmlns:c16="http://schemas.microsoft.com/office/drawing/2014/chart" uri="{C3380CC4-5D6E-409C-BE32-E72D297353CC}">
              <c16:uniqueId val="{00000000-E9A4-4BC1-BC48-BFE6357FA9C9}"/>
            </c:ext>
          </c:extLst>
        </c:ser>
        <c:ser>
          <c:idx val="1"/>
          <c:order val="1"/>
          <c:tx>
            <c:strRef>
              <c:f>Lapas3!$E$98</c:f>
              <c:strCache>
                <c:ptCount val="1"/>
                <c:pt idx="0">
                  <c:v>2021 m.</c:v>
                </c:pt>
              </c:strCache>
            </c:strRef>
          </c:tx>
          <c:spPr>
            <a:solidFill>
              <a:schemeClr val="accent2"/>
            </a:solidFill>
            <a:ln>
              <a:noFill/>
            </a:ln>
            <a:effectLst/>
          </c:spPr>
          <c:invertIfNegative val="0"/>
          <c:cat>
            <c:strRef>
              <c:f>Lapas3!$C$99:$C$104</c:f>
              <c:strCache>
                <c:ptCount val="6"/>
                <c:pt idx="0">
                  <c:v>Vilniaus TLK</c:v>
                </c:pt>
                <c:pt idx="1">
                  <c:v>Kauno TLK</c:v>
                </c:pt>
                <c:pt idx="2">
                  <c:v>Klaipėdos TLK</c:v>
                </c:pt>
                <c:pt idx="3">
                  <c:v>Šiaulių TLK</c:v>
                </c:pt>
                <c:pt idx="4">
                  <c:v>Panevėžio TLK</c:v>
                </c:pt>
                <c:pt idx="5">
                  <c:v>Šalies mastu</c:v>
                </c:pt>
              </c:strCache>
            </c:strRef>
          </c:cat>
          <c:val>
            <c:numRef>
              <c:f>Lapas3!$E$99:$E$104</c:f>
              <c:numCache>
                <c:formatCode>0%</c:formatCode>
                <c:ptCount val="6"/>
                <c:pt idx="0">
                  <c:v>0.02</c:v>
                </c:pt>
                <c:pt idx="1">
                  <c:v>0.01</c:v>
                </c:pt>
                <c:pt idx="2">
                  <c:v>7.0000000000000007E-2</c:v>
                </c:pt>
                <c:pt idx="3">
                  <c:v>0.05</c:v>
                </c:pt>
                <c:pt idx="4">
                  <c:v>0.1</c:v>
                </c:pt>
                <c:pt idx="5">
                  <c:v>0.05</c:v>
                </c:pt>
              </c:numCache>
            </c:numRef>
          </c:val>
          <c:extLst>
            <c:ext xmlns:c16="http://schemas.microsoft.com/office/drawing/2014/chart" uri="{C3380CC4-5D6E-409C-BE32-E72D297353CC}">
              <c16:uniqueId val="{00000001-E9A4-4BC1-BC48-BFE6357FA9C9}"/>
            </c:ext>
          </c:extLst>
        </c:ser>
        <c:ser>
          <c:idx val="2"/>
          <c:order val="2"/>
          <c:tx>
            <c:strRef>
              <c:f>Lapas3!$F$98</c:f>
              <c:strCache>
                <c:ptCount val="1"/>
                <c:pt idx="0">
                  <c:v>2022 m.</c:v>
                </c:pt>
              </c:strCache>
            </c:strRef>
          </c:tx>
          <c:spPr>
            <a:solidFill>
              <a:schemeClr val="accent3"/>
            </a:solidFill>
            <a:ln>
              <a:noFill/>
            </a:ln>
            <a:effectLst/>
          </c:spPr>
          <c:invertIfNegative val="0"/>
          <c:cat>
            <c:strRef>
              <c:f>Lapas3!$C$99:$C$104</c:f>
              <c:strCache>
                <c:ptCount val="6"/>
                <c:pt idx="0">
                  <c:v>Vilniaus TLK</c:v>
                </c:pt>
                <c:pt idx="1">
                  <c:v>Kauno TLK</c:v>
                </c:pt>
                <c:pt idx="2">
                  <c:v>Klaipėdos TLK</c:v>
                </c:pt>
                <c:pt idx="3">
                  <c:v>Šiaulių TLK</c:v>
                </c:pt>
                <c:pt idx="4">
                  <c:v>Panevėžio TLK</c:v>
                </c:pt>
                <c:pt idx="5">
                  <c:v>Šalies mastu</c:v>
                </c:pt>
              </c:strCache>
            </c:strRef>
          </c:cat>
          <c:val>
            <c:numRef>
              <c:f>Lapas3!$F$99:$F$104</c:f>
              <c:numCache>
                <c:formatCode>0%</c:formatCode>
                <c:ptCount val="6"/>
                <c:pt idx="0">
                  <c:v>0.08</c:v>
                </c:pt>
                <c:pt idx="1">
                  <c:v>0.06</c:v>
                </c:pt>
                <c:pt idx="2">
                  <c:v>0.03</c:v>
                </c:pt>
                <c:pt idx="3">
                  <c:v>0.11</c:v>
                </c:pt>
                <c:pt idx="4">
                  <c:v>0.16</c:v>
                </c:pt>
                <c:pt idx="5">
                  <c:v>0.08</c:v>
                </c:pt>
              </c:numCache>
            </c:numRef>
          </c:val>
          <c:extLst>
            <c:ext xmlns:c16="http://schemas.microsoft.com/office/drawing/2014/chart" uri="{C3380CC4-5D6E-409C-BE32-E72D297353CC}">
              <c16:uniqueId val="{00000002-E9A4-4BC1-BC48-BFE6357FA9C9}"/>
            </c:ext>
          </c:extLst>
        </c:ser>
        <c:ser>
          <c:idx val="3"/>
          <c:order val="3"/>
          <c:tx>
            <c:strRef>
              <c:f>Lapas3!$G$98</c:f>
              <c:strCache>
                <c:ptCount val="1"/>
                <c:pt idx="0">
                  <c:v>2023 m.</c:v>
                </c:pt>
              </c:strCache>
            </c:strRef>
          </c:tx>
          <c:spPr>
            <a:solidFill>
              <a:schemeClr val="accent4"/>
            </a:solidFill>
            <a:ln>
              <a:noFill/>
            </a:ln>
            <a:effectLst/>
          </c:spPr>
          <c:invertIfNegative val="0"/>
          <c:cat>
            <c:strRef>
              <c:f>Lapas3!$C$99:$C$104</c:f>
              <c:strCache>
                <c:ptCount val="6"/>
                <c:pt idx="0">
                  <c:v>Vilniaus TLK</c:v>
                </c:pt>
                <c:pt idx="1">
                  <c:v>Kauno TLK</c:v>
                </c:pt>
                <c:pt idx="2">
                  <c:v>Klaipėdos TLK</c:v>
                </c:pt>
                <c:pt idx="3">
                  <c:v>Šiaulių TLK</c:v>
                </c:pt>
                <c:pt idx="4">
                  <c:v>Panevėžio TLK</c:v>
                </c:pt>
                <c:pt idx="5">
                  <c:v>Šalies mastu</c:v>
                </c:pt>
              </c:strCache>
            </c:strRef>
          </c:cat>
          <c:val>
            <c:numRef>
              <c:f>Lapas3!$G$99:$G$104</c:f>
              <c:numCache>
                <c:formatCode>0%</c:formatCode>
                <c:ptCount val="6"/>
                <c:pt idx="0">
                  <c:v>0.02</c:v>
                </c:pt>
                <c:pt idx="1">
                  <c:v>0</c:v>
                </c:pt>
                <c:pt idx="2">
                  <c:v>0</c:v>
                </c:pt>
                <c:pt idx="3">
                  <c:v>3.5000000000000003E-2</c:v>
                </c:pt>
                <c:pt idx="4">
                  <c:v>0.06</c:v>
                </c:pt>
                <c:pt idx="5">
                  <c:v>3.0380000000000001E-2</c:v>
                </c:pt>
              </c:numCache>
            </c:numRef>
          </c:val>
          <c:extLst>
            <c:ext xmlns:c16="http://schemas.microsoft.com/office/drawing/2014/chart" uri="{C3380CC4-5D6E-409C-BE32-E72D297353CC}">
              <c16:uniqueId val="{00000003-E9A4-4BC1-BC48-BFE6357FA9C9}"/>
            </c:ext>
          </c:extLst>
        </c:ser>
        <c:ser>
          <c:idx val="4"/>
          <c:order val="4"/>
          <c:tx>
            <c:strRef>
              <c:f>Lapas3!$H$98</c:f>
              <c:strCache>
                <c:ptCount val="1"/>
                <c:pt idx="0">
                  <c:v>2024 m.</c:v>
                </c:pt>
              </c:strCache>
            </c:strRef>
          </c:tx>
          <c:spPr>
            <a:solidFill>
              <a:schemeClr val="accent5"/>
            </a:solidFill>
            <a:ln>
              <a:noFill/>
            </a:ln>
            <a:effectLst/>
          </c:spPr>
          <c:invertIfNegative val="0"/>
          <c:cat>
            <c:strRef>
              <c:f>Lapas3!$C$99:$C$104</c:f>
              <c:strCache>
                <c:ptCount val="6"/>
                <c:pt idx="0">
                  <c:v>Vilniaus TLK</c:v>
                </c:pt>
                <c:pt idx="1">
                  <c:v>Kauno TLK</c:v>
                </c:pt>
                <c:pt idx="2">
                  <c:v>Klaipėdos TLK</c:v>
                </c:pt>
                <c:pt idx="3">
                  <c:v>Šiaulių TLK</c:v>
                </c:pt>
                <c:pt idx="4">
                  <c:v>Panevėžio TLK</c:v>
                </c:pt>
                <c:pt idx="5">
                  <c:v>Šalies mastu</c:v>
                </c:pt>
              </c:strCache>
            </c:strRef>
          </c:cat>
          <c:val>
            <c:numRef>
              <c:f>Lapas3!$H$99:$H$104</c:f>
              <c:numCache>
                <c:formatCode>0%</c:formatCode>
                <c:ptCount val="6"/>
                <c:pt idx="0">
                  <c:v>2.564102564102564E-2</c:v>
                </c:pt>
                <c:pt idx="1">
                  <c:v>2.2988505747126436E-2</c:v>
                </c:pt>
                <c:pt idx="2">
                  <c:v>6.25E-2</c:v>
                </c:pt>
                <c:pt idx="3">
                  <c:v>0.1111111111111111</c:v>
                </c:pt>
                <c:pt idx="4">
                  <c:v>4.6511627906976744E-2</c:v>
                </c:pt>
                <c:pt idx="5">
                  <c:v>4.8054919908466803E-2</c:v>
                </c:pt>
              </c:numCache>
            </c:numRef>
          </c:val>
          <c:extLst>
            <c:ext xmlns:c16="http://schemas.microsoft.com/office/drawing/2014/chart" uri="{C3380CC4-5D6E-409C-BE32-E72D297353CC}">
              <c16:uniqueId val="{00000004-E9A4-4BC1-BC48-BFE6357FA9C9}"/>
            </c:ext>
          </c:extLst>
        </c:ser>
        <c:dLbls>
          <c:showLegendKey val="0"/>
          <c:showVal val="0"/>
          <c:showCatName val="0"/>
          <c:showSerName val="0"/>
          <c:showPercent val="0"/>
          <c:showBubbleSize val="0"/>
        </c:dLbls>
        <c:gapWidth val="219"/>
        <c:overlap val="-27"/>
        <c:axId val="226393552"/>
        <c:axId val="96311216"/>
      </c:barChart>
      <c:catAx>
        <c:axId val="22639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96311216"/>
        <c:crosses val="autoZero"/>
        <c:auto val="1"/>
        <c:lblAlgn val="ctr"/>
        <c:lblOffset val="100"/>
        <c:noMultiLvlLbl val="0"/>
      </c:catAx>
      <c:valAx>
        <c:axId val="96311216"/>
        <c:scaling>
          <c:orientation val="minMax"/>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226393552"/>
        <c:crosses val="autoZero"/>
        <c:crossBetween val="between"/>
        <c:majorUnit val="4.0000000000000008E-2"/>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lt1"/>
    </a:solidFill>
    <a:ln w="12700" cap="flat" cmpd="sng" algn="ctr">
      <a:solidFill>
        <a:schemeClr val="accent6"/>
      </a:solidFill>
      <a:prstDash val="solid"/>
      <a:miter lim="800000"/>
    </a:ln>
    <a:effectLst/>
  </c:spPr>
  <c:txPr>
    <a:bodyPr/>
    <a:lstStyle/>
    <a:p>
      <a:pPr>
        <a:defRPr b="1">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Lapas3!$D$124</c:f>
              <c:strCache>
                <c:ptCount val="1"/>
                <c:pt idx="0">
                  <c:v>Aukšto veiklos rizikos lygio ūkio subjektų dalis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Lapas3!$C$125:$C$129</c:f>
              <c:strCache>
                <c:ptCount val="5"/>
                <c:pt idx="0">
                  <c:v>2020 m.</c:v>
                </c:pt>
                <c:pt idx="1">
                  <c:v>2021 m.</c:v>
                </c:pt>
                <c:pt idx="2">
                  <c:v>2022 m.</c:v>
                </c:pt>
                <c:pt idx="3">
                  <c:v>2023 m.</c:v>
                </c:pt>
                <c:pt idx="4">
                  <c:v>2024 m.</c:v>
                </c:pt>
              </c:strCache>
            </c:strRef>
          </c:cat>
          <c:val>
            <c:numRef>
              <c:f>Lapas3!$D$125:$D$129</c:f>
              <c:numCache>
                <c:formatCode>General</c:formatCode>
                <c:ptCount val="5"/>
                <c:pt idx="0">
                  <c:v>28</c:v>
                </c:pt>
                <c:pt idx="1">
                  <c:v>38</c:v>
                </c:pt>
                <c:pt idx="2">
                  <c:v>48</c:v>
                </c:pt>
                <c:pt idx="3">
                  <c:v>58</c:v>
                </c:pt>
                <c:pt idx="4">
                  <c:v>58</c:v>
                </c:pt>
              </c:numCache>
            </c:numRef>
          </c:val>
          <c:extLst>
            <c:ext xmlns:c16="http://schemas.microsoft.com/office/drawing/2014/chart" uri="{C3380CC4-5D6E-409C-BE32-E72D297353CC}">
              <c16:uniqueId val="{00000000-C299-47EC-8CBA-531A0EE76F60}"/>
            </c:ext>
          </c:extLst>
        </c:ser>
        <c:ser>
          <c:idx val="1"/>
          <c:order val="1"/>
          <c:tx>
            <c:strRef>
              <c:f>Lapas3!$E$124</c:f>
              <c:strCache>
                <c:ptCount val="1"/>
                <c:pt idx="0">
                  <c:v>Vidutinio ir žemo veiklos rizikos lygio ūkio subjektų dalis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Lapas3!$C$125:$C$129</c:f>
              <c:strCache>
                <c:ptCount val="5"/>
                <c:pt idx="0">
                  <c:v>2020 m.</c:v>
                </c:pt>
                <c:pt idx="1">
                  <c:v>2021 m.</c:v>
                </c:pt>
                <c:pt idx="2">
                  <c:v>2022 m.</c:v>
                </c:pt>
                <c:pt idx="3">
                  <c:v>2023 m.</c:v>
                </c:pt>
                <c:pt idx="4">
                  <c:v>2024 m.</c:v>
                </c:pt>
              </c:strCache>
            </c:strRef>
          </c:cat>
          <c:val>
            <c:numRef>
              <c:f>Lapas3!$E$125:$E$129</c:f>
              <c:numCache>
                <c:formatCode>General</c:formatCode>
                <c:ptCount val="5"/>
                <c:pt idx="0">
                  <c:v>28</c:v>
                </c:pt>
                <c:pt idx="1">
                  <c:v>47</c:v>
                </c:pt>
                <c:pt idx="2">
                  <c:v>42</c:v>
                </c:pt>
                <c:pt idx="3">
                  <c:v>34</c:v>
                </c:pt>
                <c:pt idx="4">
                  <c:v>28</c:v>
                </c:pt>
              </c:numCache>
            </c:numRef>
          </c:val>
          <c:extLst>
            <c:ext xmlns:c16="http://schemas.microsoft.com/office/drawing/2014/chart" uri="{C3380CC4-5D6E-409C-BE32-E72D297353CC}">
              <c16:uniqueId val="{00000001-C299-47EC-8CBA-531A0EE76F60}"/>
            </c:ext>
          </c:extLst>
        </c:ser>
        <c:dLbls>
          <c:dLblPos val="outEnd"/>
          <c:showLegendKey val="0"/>
          <c:showVal val="1"/>
          <c:showCatName val="0"/>
          <c:showSerName val="0"/>
          <c:showPercent val="0"/>
          <c:showBubbleSize val="0"/>
        </c:dLbls>
        <c:gapWidth val="219"/>
        <c:overlap val="-27"/>
        <c:axId val="423202384"/>
        <c:axId val="237601328"/>
      </c:barChart>
      <c:catAx>
        <c:axId val="42320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237601328"/>
        <c:crosses val="autoZero"/>
        <c:auto val="1"/>
        <c:lblAlgn val="ctr"/>
        <c:lblOffset val="100"/>
        <c:noMultiLvlLbl val="0"/>
      </c:catAx>
      <c:valAx>
        <c:axId val="2376013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42320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lt1"/>
    </a:solidFill>
    <a:ln w="12700" cap="flat" cmpd="sng" algn="ctr">
      <a:solidFill>
        <a:schemeClr val="accent6"/>
      </a:solidFill>
      <a:prstDash val="solid"/>
      <a:miter lim="800000"/>
    </a:ln>
    <a:effectLst/>
  </c:spPr>
  <c:txPr>
    <a:bodyPr/>
    <a:lstStyle/>
    <a:p>
      <a:pPr>
        <a:defRPr b="1">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272369362920541E-2"/>
          <c:y val="8.4745762711864403E-2"/>
          <c:w val="0.92013258931476538"/>
          <c:h val="0.6910903509942613"/>
        </c:manualLayout>
      </c:layout>
      <c:lineChart>
        <c:grouping val="standard"/>
        <c:varyColors val="0"/>
        <c:ser>
          <c:idx val="0"/>
          <c:order val="0"/>
          <c:tx>
            <c:strRef>
              <c:f>Lapas3!$C$140</c:f>
              <c:strCache>
                <c:ptCount val="1"/>
                <c:pt idx="0">
                  <c:v>Kontrolės procedūrų skaičius, kurių metu naudoti klausimynai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tx>
                <c:rich>
                  <a:bodyPr/>
                  <a:lstStyle/>
                  <a:p>
                    <a:fld id="{ABFDF8BA-2047-4B12-A9EF-04C791ECEAD3}" type="VALUE">
                      <a:rPr lang="en-US"/>
                      <a:pPr/>
                      <a:t>[REIKŠMĖ]</a:t>
                    </a:fld>
                    <a:r>
                      <a:rPr lang="en-US"/>
                      <a:t> </a:t>
                    </a:r>
                  </a:p>
                  <a:p>
                    <a:r>
                      <a:rPr lang="en-US"/>
                      <a:t>(25 %)</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E1E-43FC-B309-414E7DDAC15F}"/>
                </c:ext>
              </c:extLst>
            </c:dLbl>
            <c:dLbl>
              <c:idx val="1"/>
              <c:tx>
                <c:rich>
                  <a:bodyPr/>
                  <a:lstStyle/>
                  <a:p>
                    <a:fld id="{5360987D-7469-447A-B7FD-3AAED6312350}" type="VALUE">
                      <a:rPr lang="en-US"/>
                      <a:pPr/>
                      <a:t>[REIKŠMĖ]</a:t>
                    </a:fld>
                    <a:r>
                      <a:rPr lang="en-US"/>
                      <a:t> </a:t>
                    </a:r>
                  </a:p>
                  <a:p>
                    <a:r>
                      <a:rPr lang="en-US"/>
                      <a:t>(28 %)</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E1E-43FC-B309-414E7DDAC15F}"/>
                </c:ext>
              </c:extLst>
            </c:dLbl>
            <c:dLbl>
              <c:idx val="2"/>
              <c:tx>
                <c:rich>
                  <a:bodyPr/>
                  <a:lstStyle/>
                  <a:p>
                    <a:fld id="{875C5AE9-0D49-4AFD-8181-D2AF7A23FCB8}" type="VALUE">
                      <a:rPr lang="en-US">
                        <a:solidFill>
                          <a:sysClr val="windowText" lastClr="000000"/>
                        </a:solidFill>
                      </a:rPr>
                      <a:pPr/>
                      <a:t>[REIKŠMĖ]</a:t>
                    </a:fld>
                    <a:r>
                      <a:rPr lang="en-US">
                        <a:solidFill>
                          <a:sysClr val="windowText" lastClr="000000"/>
                        </a:solidFill>
                      </a:rPr>
                      <a:t> </a:t>
                    </a:r>
                  </a:p>
                  <a:p>
                    <a:r>
                      <a:rPr lang="en-US">
                        <a:solidFill>
                          <a:sysClr val="windowText" lastClr="000000"/>
                        </a:solidFill>
                      </a:rPr>
                      <a:t>(68 %)</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E1E-43FC-B309-414E7DDAC15F}"/>
                </c:ext>
              </c:extLst>
            </c:dLbl>
            <c:dLbl>
              <c:idx val="3"/>
              <c:tx>
                <c:rich>
                  <a:bodyPr/>
                  <a:lstStyle/>
                  <a:p>
                    <a:fld id="{BBEBA8FF-380B-4F29-9173-37FAF93CEC84}" type="VALUE">
                      <a:rPr lang="en-US"/>
                      <a:pPr/>
                      <a:t>[REIKŠMĖ]</a:t>
                    </a:fld>
                    <a:r>
                      <a:rPr lang="en-US"/>
                      <a:t> </a:t>
                    </a:r>
                  </a:p>
                  <a:p>
                    <a:r>
                      <a:rPr lang="en-US"/>
                      <a:t>(48 %)</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E1E-43FC-B309-414E7DDAC15F}"/>
                </c:ext>
              </c:extLst>
            </c:dLbl>
            <c:dLbl>
              <c:idx val="4"/>
              <c:tx>
                <c:rich>
                  <a:bodyPr/>
                  <a:lstStyle/>
                  <a:p>
                    <a:fld id="{18260471-20E6-4DBE-8E49-A25EEFD5B40E}" type="VALUE">
                      <a:rPr lang="en-US" sz="900"/>
                      <a:pPr/>
                      <a:t>[REIKŠMĖ]</a:t>
                    </a:fld>
                    <a:r>
                      <a:rPr lang="en-US" sz="900"/>
                      <a:t> </a:t>
                    </a:r>
                  </a:p>
                  <a:p>
                    <a:r>
                      <a:rPr lang="en-US" sz="900"/>
                      <a:t>(38 </a:t>
                    </a:r>
                    <a:r>
                      <a:rPr lang="en-US" sz="900" b="1" i="0" u="none" strike="noStrike" kern="1200" baseline="0">
                        <a:solidFill>
                          <a:sysClr val="windowText" lastClr="000000"/>
                        </a:solidFill>
                      </a:rPr>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F9B-420C-96A3-FE3C871C670B}"/>
                </c:ext>
              </c:extLst>
            </c:dLbl>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Lapas3!$D$139:$H$139</c:f>
              <c:strCache>
                <c:ptCount val="5"/>
                <c:pt idx="0">
                  <c:v>2020 m.</c:v>
                </c:pt>
                <c:pt idx="1">
                  <c:v>2021 m.</c:v>
                </c:pt>
                <c:pt idx="2">
                  <c:v>2022 m.</c:v>
                </c:pt>
                <c:pt idx="3">
                  <c:v>2023 m.</c:v>
                </c:pt>
                <c:pt idx="4">
                  <c:v>2024 m.</c:v>
                </c:pt>
              </c:strCache>
            </c:strRef>
          </c:cat>
          <c:val>
            <c:numRef>
              <c:f>Lapas3!$D$140:$H$140</c:f>
              <c:numCache>
                <c:formatCode>General</c:formatCode>
                <c:ptCount val="5"/>
                <c:pt idx="0">
                  <c:v>247</c:v>
                </c:pt>
                <c:pt idx="1">
                  <c:v>600</c:v>
                </c:pt>
                <c:pt idx="2">
                  <c:v>278</c:v>
                </c:pt>
                <c:pt idx="3">
                  <c:v>141</c:v>
                </c:pt>
                <c:pt idx="4">
                  <c:v>165</c:v>
                </c:pt>
              </c:numCache>
            </c:numRef>
          </c:val>
          <c:smooth val="0"/>
          <c:extLst>
            <c:ext xmlns:c16="http://schemas.microsoft.com/office/drawing/2014/chart" uri="{C3380CC4-5D6E-409C-BE32-E72D297353CC}">
              <c16:uniqueId val="{00000000-0E1E-43FC-B309-414E7DDAC15F}"/>
            </c:ext>
          </c:extLst>
        </c:ser>
        <c:dLbls>
          <c:showLegendKey val="0"/>
          <c:showVal val="0"/>
          <c:showCatName val="0"/>
          <c:showSerName val="0"/>
          <c:showPercent val="0"/>
          <c:showBubbleSize val="0"/>
        </c:dLbls>
        <c:marker val="1"/>
        <c:smooth val="0"/>
        <c:axId val="423230784"/>
        <c:axId val="237606736"/>
      </c:lineChart>
      <c:catAx>
        <c:axId val="42323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237606736"/>
        <c:crosses val="autoZero"/>
        <c:auto val="1"/>
        <c:lblAlgn val="ctr"/>
        <c:lblOffset val="100"/>
        <c:noMultiLvlLbl val="0"/>
      </c:catAx>
      <c:valAx>
        <c:axId val="2376067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42323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lt1"/>
    </a:solidFill>
    <a:ln w="12700" cap="flat" cmpd="sng" algn="ctr">
      <a:solidFill>
        <a:schemeClr val="accent6"/>
      </a:solidFill>
      <a:prstDash val="solid"/>
      <a:miter lim="800000"/>
    </a:ln>
    <a:effectLst/>
  </c:spPr>
  <c:txPr>
    <a:bodyPr/>
    <a:lstStyle/>
    <a:p>
      <a:pPr>
        <a:defRPr b="1">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0599521578789988E-2"/>
          <c:y val="5.5841382547584577E-2"/>
          <c:w val="0.93307701252533304"/>
          <c:h val="0.71794594630331177"/>
        </c:manualLayout>
      </c:layout>
      <c:barChart>
        <c:barDir val="col"/>
        <c:grouping val="clustered"/>
        <c:varyColors val="0"/>
        <c:ser>
          <c:idx val="0"/>
          <c:order val="0"/>
          <c:tx>
            <c:strRef>
              <c:f>Lapas3!$B$14</c:f>
              <c:strCache>
                <c:ptCount val="1"/>
                <c:pt idx="0">
                  <c:v>Nustatyta žala PSDF biudžetui (Eur)</c:v>
                </c:pt>
              </c:strCache>
            </c:strRef>
          </c:tx>
          <c:spPr>
            <a:solidFill>
              <a:schemeClr val="accent1"/>
            </a:solidFill>
            <a:ln>
              <a:noFill/>
            </a:ln>
            <a:effectLst/>
          </c:spPr>
          <c:invertIfNegative val="0"/>
          <c:dLbls>
            <c:dLbl>
              <c:idx val="0"/>
              <c:tx>
                <c:rich>
                  <a:bodyPr/>
                  <a:lstStyle/>
                  <a:p>
                    <a:r>
                      <a:rPr lang="en-US"/>
                      <a:t> 331 623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204-41CC-A0C5-1600EEBFE0B8}"/>
                </c:ext>
              </c:extLst>
            </c:dLbl>
            <c:dLbl>
              <c:idx val="1"/>
              <c:tx>
                <c:rich>
                  <a:bodyPr/>
                  <a:lstStyle/>
                  <a:p>
                    <a:r>
                      <a:rPr lang="en-US"/>
                      <a:t>106 448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204-41CC-A0C5-1600EEBFE0B8}"/>
                </c:ext>
              </c:extLst>
            </c:dLbl>
            <c:dLbl>
              <c:idx val="2"/>
              <c:tx>
                <c:rich>
                  <a:bodyPr/>
                  <a:lstStyle/>
                  <a:p>
                    <a:r>
                      <a:rPr lang="en-US"/>
                      <a:t>67 621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E204-41CC-A0C5-1600EEBFE0B8}"/>
                </c:ext>
              </c:extLst>
            </c:dLbl>
            <c:dLbl>
              <c:idx val="3"/>
              <c:tx>
                <c:rich>
                  <a:bodyPr/>
                  <a:lstStyle/>
                  <a:p>
                    <a:r>
                      <a:rPr lang="en-US"/>
                      <a:t>87 560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E204-41CC-A0C5-1600EEBFE0B8}"/>
                </c:ext>
              </c:extLst>
            </c:dLbl>
            <c:dLbl>
              <c:idx val="4"/>
              <c:tx>
                <c:rich>
                  <a:bodyPr/>
                  <a:lstStyle/>
                  <a:p>
                    <a:r>
                      <a:rPr lang="en-US"/>
                      <a:t>42 400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E204-41CC-A0C5-1600EEBFE0B8}"/>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Lapas3!$C$13:$G$13</c:f>
              <c:strCache>
                <c:ptCount val="5"/>
                <c:pt idx="0">
                  <c:v>Vilniaus TLK</c:v>
                </c:pt>
                <c:pt idx="1">
                  <c:v>Kauno TLK</c:v>
                </c:pt>
                <c:pt idx="2">
                  <c:v>Klaipėdos TLK</c:v>
                </c:pt>
                <c:pt idx="3">
                  <c:v>Šiaulių TLK</c:v>
                </c:pt>
                <c:pt idx="4">
                  <c:v> Panevėžio TLK</c:v>
                </c:pt>
              </c:strCache>
            </c:strRef>
          </c:cat>
          <c:val>
            <c:numRef>
              <c:f>Lapas3!$C$14:$G$14</c:f>
              <c:numCache>
                <c:formatCode>#,##0</c:formatCode>
                <c:ptCount val="5"/>
                <c:pt idx="0">
                  <c:v>331623</c:v>
                </c:pt>
                <c:pt idx="1">
                  <c:v>106448</c:v>
                </c:pt>
                <c:pt idx="2">
                  <c:v>67621</c:v>
                </c:pt>
                <c:pt idx="3">
                  <c:v>87560</c:v>
                </c:pt>
                <c:pt idx="4">
                  <c:v>42400</c:v>
                </c:pt>
              </c:numCache>
            </c:numRef>
          </c:val>
          <c:extLst>
            <c:ext xmlns:c16="http://schemas.microsoft.com/office/drawing/2014/chart" uri="{C3380CC4-5D6E-409C-BE32-E72D297353CC}">
              <c16:uniqueId val="{00000000-A447-4C12-8C12-C219AE116941}"/>
            </c:ext>
          </c:extLst>
        </c:ser>
        <c:ser>
          <c:idx val="1"/>
          <c:order val="1"/>
          <c:tx>
            <c:strRef>
              <c:f>Lapas3!$B$15</c:f>
              <c:strCache>
                <c:ptCount val="1"/>
                <c:pt idx="0">
                  <c:v>Išvengtos žalos PSDF biudžetui dydis (balais)</c:v>
                </c:pt>
              </c:strCache>
            </c:strRef>
          </c:tx>
          <c:spPr>
            <a:solidFill>
              <a:schemeClr val="accent2"/>
            </a:solidFill>
            <a:ln>
              <a:noFill/>
            </a:ln>
            <a:effectLst/>
          </c:spPr>
          <c:invertIfNegative val="0"/>
          <c:dLbls>
            <c:dLbl>
              <c:idx val="0"/>
              <c:tx>
                <c:rich>
                  <a:bodyPr/>
                  <a:lstStyle/>
                  <a:p>
                    <a:r>
                      <a:rPr lang="en-US"/>
                      <a:t>1 279 590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204-41CC-A0C5-1600EEBFE0B8}"/>
                </c:ext>
              </c:extLst>
            </c:dLbl>
            <c:dLbl>
              <c:idx val="1"/>
              <c:tx>
                <c:rich>
                  <a:bodyPr/>
                  <a:lstStyle/>
                  <a:p>
                    <a:r>
                      <a:rPr lang="en-US"/>
                      <a:t>855 503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204-41CC-A0C5-1600EEBFE0B8}"/>
                </c:ext>
              </c:extLst>
            </c:dLbl>
            <c:dLbl>
              <c:idx val="2"/>
              <c:tx>
                <c:rich>
                  <a:bodyPr/>
                  <a:lstStyle/>
                  <a:p>
                    <a:r>
                      <a:rPr lang="en-US"/>
                      <a:t>407 534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E204-41CC-A0C5-1600EEBFE0B8}"/>
                </c:ext>
              </c:extLst>
            </c:dLbl>
            <c:dLbl>
              <c:idx val="3"/>
              <c:tx>
                <c:rich>
                  <a:bodyPr/>
                  <a:lstStyle/>
                  <a:p>
                    <a:r>
                      <a:rPr lang="en-US"/>
                      <a:t>250 639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E204-41CC-A0C5-1600EEBFE0B8}"/>
                </c:ext>
              </c:extLst>
            </c:dLbl>
            <c:dLbl>
              <c:idx val="4"/>
              <c:tx>
                <c:rich>
                  <a:bodyPr/>
                  <a:lstStyle/>
                  <a:p>
                    <a:r>
                      <a:rPr lang="en-US"/>
                      <a:t>285 532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E204-41CC-A0C5-1600EEBFE0B8}"/>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Lapas3!$C$13:$G$13</c:f>
              <c:strCache>
                <c:ptCount val="5"/>
                <c:pt idx="0">
                  <c:v>Vilniaus TLK</c:v>
                </c:pt>
                <c:pt idx="1">
                  <c:v>Kauno TLK</c:v>
                </c:pt>
                <c:pt idx="2">
                  <c:v>Klaipėdos TLK</c:v>
                </c:pt>
                <c:pt idx="3">
                  <c:v>Šiaulių TLK</c:v>
                </c:pt>
                <c:pt idx="4">
                  <c:v> Panevėžio TLK</c:v>
                </c:pt>
              </c:strCache>
            </c:strRef>
          </c:cat>
          <c:val>
            <c:numRef>
              <c:f>Lapas3!$C$15:$G$15</c:f>
              <c:numCache>
                <c:formatCode>#,##0</c:formatCode>
                <c:ptCount val="5"/>
                <c:pt idx="0">
                  <c:v>1279590</c:v>
                </c:pt>
                <c:pt idx="1">
                  <c:v>855503</c:v>
                </c:pt>
                <c:pt idx="2">
                  <c:v>407534</c:v>
                </c:pt>
                <c:pt idx="3">
                  <c:v>250639</c:v>
                </c:pt>
                <c:pt idx="4">
                  <c:v>285532</c:v>
                </c:pt>
              </c:numCache>
            </c:numRef>
          </c:val>
          <c:extLst>
            <c:ext xmlns:c16="http://schemas.microsoft.com/office/drawing/2014/chart" uri="{C3380CC4-5D6E-409C-BE32-E72D297353CC}">
              <c16:uniqueId val="{00000001-A447-4C12-8C12-C219AE116941}"/>
            </c:ext>
          </c:extLst>
        </c:ser>
        <c:dLbls>
          <c:dLblPos val="outEnd"/>
          <c:showLegendKey val="0"/>
          <c:showVal val="1"/>
          <c:showCatName val="0"/>
          <c:showSerName val="0"/>
          <c:showPercent val="0"/>
          <c:showBubbleSize val="0"/>
        </c:dLbls>
        <c:gapWidth val="219"/>
        <c:overlap val="-27"/>
        <c:axId val="2068064448"/>
        <c:axId val="2077095008"/>
      </c:barChart>
      <c:catAx>
        <c:axId val="206806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77095008"/>
        <c:crosses val="autoZero"/>
        <c:auto val="1"/>
        <c:lblAlgn val="ctr"/>
        <c:lblOffset val="100"/>
        <c:noMultiLvlLbl val="0"/>
      </c:catAx>
      <c:valAx>
        <c:axId val="2077095008"/>
        <c:scaling>
          <c:orientation val="minMax"/>
        </c:scaling>
        <c:delete val="1"/>
        <c:axPos val="l"/>
        <c:numFmt formatCode="#,##0" sourceLinked="1"/>
        <c:majorTickMark val="none"/>
        <c:minorTickMark val="none"/>
        <c:tickLblPos val="nextTo"/>
        <c:crossAx val="2068064448"/>
        <c:crosses val="autoZero"/>
        <c:crossBetween val="between"/>
      </c:valAx>
      <c:spPr>
        <a:noFill/>
        <a:ln>
          <a:noFill/>
        </a:ln>
        <a:effectLst/>
      </c:spPr>
    </c:plotArea>
    <c:legend>
      <c:legendPos val="r"/>
      <c:layout>
        <c:manualLayout>
          <c:xMode val="edge"/>
          <c:yMode val="edge"/>
          <c:x val="0.14667231469484035"/>
          <c:y val="0.87206461868322793"/>
          <c:w val="0.76472009036845079"/>
          <c:h val="8.216184244575063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ysClr val="window" lastClr="FFFFFF"/>
    </a:solidFill>
    <a:ln w="12700" cap="flat" cmpd="sng" algn="ctr">
      <a:solidFill>
        <a:srgbClr val="70AD47"/>
      </a:solidFill>
      <a:prstDash val="solid"/>
      <a:miter lim="800000"/>
    </a:ln>
    <a:effectLst/>
  </c:spPr>
  <c:txPr>
    <a:bodyPr/>
    <a:lstStyle/>
    <a:p>
      <a:pPr>
        <a:defRPr b="1">
          <a:solidFill>
            <a:sysClr val="windowText" lastClr="000000"/>
          </a:solidFill>
          <a:latin typeface="Times New Roman" panose="02020603050405020304" pitchFamily="18" charset="0"/>
          <a:ea typeface="+mn-ea"/>
          <a:cs typeface="Times New Roman" panose="02020603050405020304" pitchFamily="18" charset="0"/>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'[Microsoft Word diagrama]Lapas3'!$B$32</c:f>
              <c:strCache>
                <c:ptCount val="1"/>
                <c:pt idx="0">
                  <c:v>Nustatyta žala PSDF biudžetui (Eur)</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diagrama]Lapas3'!$C$31:$G$31</c:f>
              <c:strCache>
                <c:ptCount val="5"/>
                <c:pt idx="0">
                  <c:v>2020 m.</c:v>
                </c:pt>
                <c:pt idx="1">
                  <c:v>2021 m.</c:v>
                </c:pt>
                <c:pt idx="2">
                  <c:v>2022 m.</c:v>
                </c:pt>
                <c:pt idx="3">
                  <c:v>2023 m.</c:v>
                </c:pt>
                <c:pt idx="4">
                  <c:v>2024 m.</c:v>
                </c:pt>
              </c:strCache>
            </c:strRef>
          </c:cat>
          <c:val>
            <c:numRef>
              <c:f>'[Microsoft Word diagrama]Lapas3'!$C$32:$G$32</c:f>
              <c:numCache>
                <c:formatCode>#,##0</c:formatCode>
                <c:ptCount val="5"/>
                <c:pt idx="0">
                  <c:v>542924</c:v>
                </c:pt>
                <c:pt idx="1">
                  <c:v>465798</c:v>
                </c:pt>
                <c:pt idx="2">
                  <c:v>500922</c:v>
                </c:pt>
                <c:pt idx="3">
                  <c:v>635653</c:v>
                </c:pt>
                <c:pt idx="4">
                  <c:v>2246471.77</c:v>
                </c:pt>
              </c:numCache>
            </c:numRef>
          </c:val>
          <c:extLst>
            <c:ext xmlns:c16="http://schemas.microsoft.com/office/drawing/2014/chart" uri="{C3380CC4-5D6E-409C-BE32-E72D297353CC}">
              <c16:uniqueId val="{00000000-F770-4F2F-A9A4-A642AEEB0C1D}"/>
            </c:ext>
          </c:extLst>
        </c:ser>
        <c:ser>
          <c:idx val="1"/>
          <c:order val="1"/>
          <c:tx>
            <c:strRef>
              <c:f>'[Microsoft Word diagrama]Lapas3'!$B$33</c:f>
              <c:strCache>
                <c:ptCount val="1"/>
                <c:pt idx="0">
                  <c:v>Išvengtos žalos PSDF biudžetui dydis (balais)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diagrama]Lapas3'!$C$31:$G$31</c:f>
              <c:strCache>
                <c:ptCount val="5"/>
                <c:pt idx="0">
                  <c:v>2020 m.</c:v>
                </c:pt>
                <c:pt idx="1">
                  <c:v>2021 m.</c:v>
                </c:pt>
                <c:pt idx="2">
                  <c:v>2022 m.</c:v>
                </c:pt>
                <c:pt idx="3">
                  <c:v>2023 m.</c:v>
                </c:pt>
                <c:pt idx="4">
                  <c:v>2024 m.</c:v>
                </c:pt>
              </c:strCache>
            </c:strRef>
          </c:cat>
          <c:val>
            <c:numRef>
              <c:f>'[Microsoft Word diagrama]Lapas3'!$C$33:$G$33</c:f>
              <c:numCache>
                <c:formatCode>#,##0</c:formatCode>
                <c:ptCount val="5"/>
                <c:pt idx="0">
                  <c:v>1432492</c:v>
                </c:pt>
                <c:pt idx="1">
                  <c:v>1032058</c:v>
                </c:pt>
                <c:pt idx="2">
                  <c:v>1604992</c:v>
                </c:pt>
                <c:pt idx="3">
                  <c:v>3078798</c:v>
                </c:pt>
                <c:pt idx="4">
                  <c:v>6357927.96</c:v>
                </c:pt>
              </c:numCache>
            </c:numRef>
          </c:val>
          <c:extLst>
            <c:ext xmlns:c16="http://schemas.microsoft.com/office/drawing/2014/chart" uri="{C3380CC4-5D6E-409C-BE32-E72D297353CC}">
              <c16:uniqueId val="{00000001-F770-4F2F-A9A4-A642AEEB0C1D}"/>
            </c:ext>
          </c:extLst>
        </c:ser>
        <c:dLbls>
          <c:dLblPos val="outEnd"/>
          <c:showLegendKey val="0"/>
          <c:showVal val="1"/>
          <c:showCatName val="0"/>
          <c:showSerName val="0"/>
          <c:showPercent val="0"/>
          <c:showBubbleSize val="0"/>
        </c:dLbls>
        <c:gapWidth val="219"/>
        <c:overlap val="-27"/>
        <c:axId val="2135525488"/>
        <c:axId val="2109785664"/>
      </c:barChart>
      <c:catAx>
        <c:axId val="213552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2109785664"/>
        <c:crosses val="autoZero"/>
        <c:auto val="1"/>
        <c:lblAlgn val="ctr"/>
        <c:lblOffset val="100"/>
        <c:noMultiLvlLbl val="0"/>
      </c:catAx>
      <c:valAx>
        <c:axId val="2109785664"/>
        <c:scaling>
          <c:orientation val="minMax"/>
        </c:scaling>
        <c:delete val="1"/>
        <c:axPos val="l"/>
        <c:numFmt formatCode="#,##0" sourceLinked="1"/>
        <c:majorTickMark val="none"/>
        <c:minorTickMark val="none"/>
        <c:tickLblPos val="nextTo"/>
        <c:crossAx val="2135525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lt1"/>
    </a:solidFill>
    <a:ln w="12700" cap="flat" cmpd="sng" algn="ctr">
      <a:solidFill>
        <a:schemeClr val="accent6"/>
      </a:solidFill>
      <a:prstDash val="solid"/>
      <a:miter lim="800000"/>
    </a:ln>
    <a:effectLst/>
  </c:spPr>
  <c:txPr>
    <a:bodyPr/>
    <a:lstStyle/>
    <a:p>
      <a:pPr>
        <a:defRPr b="1">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A2C-4726-BF22-E7B43278804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A2C-4726-BF22-E7B43278804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A2C-4726-BF22-E7B43278804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A2C-4726-BF22-E7B43278804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A2C-4726-BF22-E7B43278804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A2C-4726-BF22-E7B43278804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A2C-4726-BF22-E7B432788046}"/>
              </c:ext>
            </c:extLst>
          </c:dPt>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'KP pagal kryptis'!$Q$3:$Q$9</c:f>
              <c:strCache>
                <c:ptCount val="7"/>
                <c:pt idx="0">
                  <c:v>Kompensuojamųjų vaistų ir MPP skyrimo ir išrašymo pagrįstumo kontrolė</c:v>
                </c:pt>
                <c:pt idx="1">
                  <c:v>Dantų protezavimo paslaugų kontrolė</c:v>
                </c:pt>
                <c:pt idx="2">
                  <c:v>Slaugos paslaugų kontrolė</c:v>
                </c:pt>
                <c:pt idx="3">
                  <c:v>Stacionarinio gydymo paslaugų kontrolė</c:v>
                </c:pt>
                <c:pt idx="4">
                  <c:v>Specializuotų ambulatorinių paslaugų kontrolė</c:v>
                </c:pt>
                <c:pt idx="5">
                  <c:v>Dienos chirurgijos, ambulatorinės chirurgijos, dienos stacionaro, stebėjimo ir skubiosios pagalbos paslaugų kontrolė</c:v>
                </c:pt>
                <c:pt idx="6">
                  <c:v>Kitos kontrolės kryptys</c:v>
                </c:pt>
              </c:strCache>
            </c:strRef>
          </c:cat>
          <c:val>
            <c:numRef>
              <c:f>'KP pagal kryptis'!$S$3:$S$9</c:f>
              <c:numCache>
                <c:formatCode>0.00</c:formatCode>
                <c:ptCount val="7"/>
                <c:pt idx="0">
                  <c:v>32.922736122614907</c:v>
                </c:pt>
                <c:pt idx="1">
                  <c:v>22.115745283525118</c:v>
                </c:pt>
                <c:pt idx="2">
                  <c:v>12.47902154373894</c:v>
                </c:pt>
                <c:pt idx="3">
                  <c:v>10.77212420998921</c:v>
                </c:pt>
                <c:pt idx="4">
                  <c:v>6.9056168519305245</c:v>
                </c:pt>
                <c:pt idx="5">
                  <c:v>6.618997591169256</c:v>
                </c:pt>
                <c:pt idx="6">
                  <c:v>8.1857583970320498</c:v>
                </c:pt>
              </c:numCache>
            </c:numRef>
          </c:val>
          <c:extLst>
            <c:ext xmlns:c16="http://schemas.microsoft.com/office/drawing/2014/chart" uri="{C3380CC4-5D6E-409C-BE32-E72D297353CC}">
              <c16:uniqueId val="{0000000E-0A2C-4726-BF22-E7B432788046}"/>
            </c:ext>
          </c:extLst>
        </c:ser>
        <c:dLbls>
          <c:dLblPos val="outEnd"/>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10-0A2C-4726-BF22-E7B43278804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2-0A2C-4726-BF22-E7B43278804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4-0A2C-4726-BF22-E7B43278804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6-0A2C-4726-BF22-E7B43278804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8-0A2C-4726-BF22-E7B43278804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A-0A2C-4726-BF22-E7B43278804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C-0A2C-4726-BF22-E7B43278804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'KP pagal kryptis'!$Q$3:$Q$9</c15:sqref>
                        </c15:formulaRef>
                      </c:ext>
                    </c:extLst>
                    <c:strCache>
                      <c:ptCount val="7"/>
                      <c:pt idx="0">
                        <c:v>Kompensuojamųjų vaistų ir MPP skyrimo ir išrašymo pagrįstumo kontrolė</c:v>
                      </c:pt>
                      <c:pt idx="1">
                        <c:v>Dantų protezavimo paslaugų kontrolė</c:v>
                      </c:pt>
                      <c:pt idx="2">
                        <c:v>Slaugos paslaugų kontrolė</c:v>
                      </c:pt>
                      <c:pt idx="3">
                        <c:v>Stacionarinio gydymo paslaugų kontrolė</c:v>
                      </c:pt>
                      <c:pt idx="4">
                        <c:v>Specializuotų ambulatorinių paslaugų kontrolė</c:v>
                      </c:pt>
                      <c:pt idx="5">
                        <c:v>Dienos chirurgijos, ambulatorinės chirurgijos, dienos stacionaro, stebėjimo ir skubiosios pagalbos paslaugų kontrolė</c:v>
                      </c:pt>
                      <c:pt idx="6">
                        <c:v>Kitos kontrolės kryptys</c:v>
                      </c:pt>
                    </c:strCache>
                  </c:strRef>
                </c:cat>
                <c:val>
                  <c:numRef>
                    <c:extLst>
                      <c:ext uri="{02D57815-91ED-43cb-92C2-25804820EDAC}">
                        <c15:formulaRef>
                          <c15:sqref>'KP pagal kryptis'!$R$3:$R$9</c15:sqref>
                        </c15:formulaRef>
                      </c:ext>
                    </c:extLst>
                    <c:numCache>
                      <c:formatCode>0.00</c:formatCode>
                      <c:ptCount val="7"/>
                      <c:pt idx="0">
                        <c:v>531.17713000000003</c:v>
                      </c:pt>
                      <c:pt idx="1">
                        <c:v>356.81657999999993</c:v>
                      </c:pt>
                      <c:pt idx="2">
                        <c:v>201.33717999999999</c:v>
                      </c:pt>
                      <c:pt idx="3">
                        <c:v>173.79801</c:v>
                      </c:pt>
                      <c:pt idx="4">
                        <c:v>111.41558000000001</c:v>
                      </c:pt>
                      <c:pt idx="5">
                        <c:v>106.79125000000001</c:v>
                      </c:pt>
                      <c:pt idx="6">
                        <c:v>132.06945000000005</c:v>
                      </c:pt>
                    </c:numCache>
                  </c:numRef>
                </c:val>
                <c:extLst>
                  <c:ext xmlns:c16="http://schemas.microsoft.com/office/drawing/2014/chart" uri="{C3380CC4-5D6E-409C-BE32-E72D297353CC}">
                    <c16:uniqueId val="{0000001D-0A2C-4726-BF22-E7B432788046}"/>
                  </c:ext>
                </c:extLst>
              </c15:ser>
            </c15:filteredPieSeries>
          </c:ext>
        </c:extLst>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6"/>
      </a:solidFill>
      <a:prstDash val="solid"/>
      <a:miter lim="800000"/>
    </a:ln>
    <a:effectLst/>
  </c:spPr>
  <c:txPr>
    <a:bodyPr/>
    <a:lstStyle/>
    <a:p>
      <a:pPr>
        <a:defRPr b="1">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1"/>
          <c:order val="0"/>
          <c:tx>
            <c:strRef>
              <c:f>'SNVP pagal kryptis'!$H$50</c:f>
              <c:strCache>
                <c:ptCount val="1"/>
                <c:pt idx="0">
                  <c:v>2024 m. nustatyta žala PSDF (proc.)</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68C-4D57-ABF2-5B4706C78F4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68C-4D57-ABF2-5B4706C78F4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68C-4D57-ABF2-5B4706C78F4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68C-4D57-ABF2-5B4706C78F4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68C-4D57-ABF2-5B4706C78F4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68C-4D57-ABF2-5B4706C78F4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68C-4D57-ABF2-5B4706C78F41}"/>
              </c:ext>
            </c:extLst>
          </c:dPt>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'SNVP pagal kryptis'!$F$51:$F$57</c:f>
              <c:strCache>
                <c:ptCount val="7"/>
                <c:pt idx="0">
                  <c:v>Stacionarinio gydymo paslaugų kontrolė</c:v>
                </c:pt>
                <c:pt idx="1">
                  <c:v>Slaugos paslaugų kontrolė</c:v>
                </c:pt>
                <c:pt idx="2">
                  <c:v>Specializuotų ambulatorinių paslaugų kontrolė</c:v>
                </c:pt>
                <c:pt idx="3">
                  <c:v>Dienos chirurgijos, ambulatorinės chirurgijos, dienos stacionaro, stebėjimo ir skubiosios pagalbos paslaugų kontrolė</c:v>
                </c:pt>
                <c:pt idx="4">
                  <c:v>Kompensuojamųjų pirminės ambulatorinės asmens sveikatos priežiūros paslaugų kontrolė</c:v>
                </c:pt>
                <c:pt idx="5">
                  <c:v>Brangiųjų tyrimų ir procedūrų kontrolė</c:v>
                </c:pt>
                <c:pt idx="6">
                  <c:v>Kitos kryptys</c:v>
                </c:pt>
              </c:strCache>
            </c:strRef>
          </c:cat>
          <c:val>
            <c:numRef>
              <c:f>'SNVP pagal kryptis'!$H$51:$H$57</c:f>
              <c:numCache>
                <c:formatCode>0.00</c:formatCode>
                <c:ptCount val="7"/>
                <c:pt idx="0">
                  <c:v>36.598605544181368</c:v>
                </c:pt>
                <c:pt idx="1">
                  <c:v>29.703085298492397</c:v>
                </c:pt>
                <c:pt idx="2">
                  <c:v>14.597579355197883</c:v>
                </c:pt>
                <c:pt idx="3">
                  <c:v>11.623166511655882</c:v>
                </c:pt>
                <c:pt idx="4">
                  <c:v>3.6722883202503134</c:v>
                </c:pt>
                <c:pt idx="5">
                  <c:v>2.2919005082519512</c:v>
                </c:pt>
                <c:pt idx="6">
                  <c:v>1.5133744619702154</c:v>
                </c:pt>
              </c:numCache>
            </c:numRef>
          </c:val>
          <c:extLst>
            <c:ext xmlns:c16="http://schemas.microsoft.com/office/drawing/2014/chart" uri="{C3380CC4-5D6E-409C-BE32-E72D297353CC}">
              <c16:uniqueId val="{0000000E-768C-4D57-ABF2-5B4706C78F41}"/>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6"/>
      </a:solidFill>
      <a:prstDash val="solid"/>
      <a:miter lim="800000"/>
    </a:ln>
    <a:effectLst/>
  </c:spPr>
  <c:txPr>
    <a:bodyPr/>
    <a:lstStyle/>
    <a:p>
      <a:pPr>
        <a:defRPr b="1">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Lapas1!$B$47</c:f>
              <c:strCache>
                <c:ptCount val="1"/>
                <c:pt idx="0">
                  <c:v>Nustatytos žalos ir PSDF biudžeto santykis proc.</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Lapas1!$C$46:$H$46</c:f>
              <c:strCache>
                <c:ptCount val="6"/>
                <c:pt idx="0">
                  <c:v>Vilniaus TLK duomenys</c:v>
                </c:pt>
                <c:pt idx="1">
                  <c:v>Kauno TLK duomenys</c:v>
                </c:pt>
                <c:pt idx="2">
                  <c:v>Klaipėdos TLK duomenys</c:v>
                </c:pt>
                <c:pt idx="3">
                  <c:v>Šiaulių TLK duomenys</c:v>
                </c:pt>
                <c:pt idx="4">
                  <c:v>Panevėžio TLK duomenys</c:v>
                </c:pt>
                <c:pt idx="5">
                  <c:v>Šalies mastu</c:v>
                </c:pt>
              </c:strCache>
            </c:strRef>
          </c:cat>
          <c:val>
            <c:numRef>
              <c:f>Lapas1!$C$47:$H$47</c:f>
              <c:numCache>
                <c:formatCode>0.00%</c:formatCode>
                <c:ptCount val="6"/>
                <c:pt idx="0">
                  <c:v>1.0118834865909159E-3</c:v>
                </c:pt>
                <c:pt idx="1">
                  <c:v>1.7621896293527122E-4</c:v>
                </c:pt>
                <c:pt idx="2">
                  <c:v>2.1063147360621945E-3</c:v>
                </c:pt>
                <c:pt idx="3">
                  <c:v>2.5849734446335796E-4</c:v>
                </c:pt>
                <c:pt idx="4">
                  <c:v>8.0055543330015454E-4</c:v>
                </c:pt>
                <c:pt idx="5">
                  <c:v>6.9812567083409288E-4</c:v>
                </c:pt>
              </c:numCache>
            </c:numRef>
          </c:val>
          <c:extLst>
            <c:ext xmlns:c16="http://schemas.microsoft.com/office/drawing/2014/chart" uri="{C3380CC4-5D6E-409C-BE32-E72D297353CC}">
              <c16:uniqueId val="{00000000-A384-45A9-9F7D-83830247EDA8}"/>
            </c:ext>
          </c:extLst>
        </c:ser>
        <c:ser>
          <c:idx val="1"/>
          <c:order val="1"/>
          <c:tx>
            <c:strRef>
              <c:f>Lapas1!$B$48</c:f>
              <c:strCache>
                <c:ptCount val="1"/>
                <c:pt idx="0">
                  <c:v>Išvengtos žalos ir PSDF biudžeto santykis proc.</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Lapas1!$C$46:$H$46</c:f>
              <c:strCache>
                <c:ptCount val="6"/>
                <c:pt idx="0">
                  <c:v>Vilniaus TLK duomenys</c:v>
                </c:pt>
                <c:pt idx="1">
                  <c:v>Kauno TLK duomenys</c:v>
                </c:pt>
                <c:pt idx="2">
                  <c:v>Klaipėdos TLK duomenys</c:v>
                </c:pt>
                <c:pt idx="3">
                  <c:v>Šiaulių TLK duomenys</c:v>
                </c:pt>
                <c:pt idx="4">
                  <c:v>Panevėžio TLK duomenys</c:v>
                </c:pt>
                <c:pt idx="5">
                  <c:v>Šalies mastu</c:v>
                </c:pt>
              </c:strCache>
            </c:strRef>
          </c:cat>
          <c:val>
            <c:numRef>
              <c:f>Lapas1!$C$48:$H$48</c:f>
              <c:numCache>
                <c:formatCode>0.00%</c:formatCode>
                <c:ptCount val="6"/>
                <c:pt idx="0">
                  <c:v>2.097591208243179E-3</c:v>
                </c:pt>
                <c:pt idx="1">
                  <c:v>3.6043141945005068E-3</c:v>
                </c:pt>
                <c:pt idx="2">
                  <c:v>1.0364187870170686E-3</c:v>
                </c:pt>
                <c:pt idx="3">
                  <c:v>1.0493079253386581E-3</c:v>
                </c:pt>
                <c:pt idx="4">
                  <c:v>1.9913348636569038E-3</c:v>
                </c:pt>
                <c:pt idx="5">
                  <c:v>2.2917442746051776E-3</c:v>
                </c:pt>
              </c:numCache>
            </c:numRef>
          </c:val>
          <c:extLst>
            <c:ext xmlns:c16="http://schemas.microsoft.com/office/drawing/2014/chart" uri="{C3380CC4-5D6E-409C-BE32-E72D297353CC}">
              <c16:uniqueId val="{00000001-A384-45A9-9F7D-83830247EDA8}"/>
            </c:ext>
          </c:extLst>
        </c:ser>
        <c:dLbls>
          <c:dLblPos val="outEnd"/>
          <c:showLegendKey val="0"/>
          <c:showVal val="1"/>
          <c:showCatName val="0"/>
          <c:showSerName val="0"/>
          <c:showPercent val="0"/>
          <c:showBubbleSize val="0"/>
        </c:dLbls>
        <c:gapWidth val="182"/>
        <c:axId val="107149872"/>
        <c:axId val="107156112"/>
      </c:barChart>
      <c:catAx>
        <c:axId val="107149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07156112"/>
        <c:crosses val="autoZero"/>
        <c:auto val="1"/>
        <c:lblAlgn val="ctr"/>
        <c:lblOffset val="100"/>
        <c:noMultiLvlLbl val="0"/>
      </c:catAx>
      <c:valAx>
        <c:axId val="107156112"/>
        <c:scaling>
          <c:orientation val="minMax"/>
        </c:scaling>
        <c:delete val="1"/>
        <c:axPos val="b"/>
        <c:numFmt formatCode="0.00%" sourceLinked="1"/>
        <c:majorTickMark val="none"/>
        <c:minorTickMark val="none"/>
        <c:tickLblPos val="nextTo"/>
        <c:crossAx val="10714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6"/>
      </a:solidFill>
      <a:prstDash val="solid"/>
      <a:miter lim="800000"/>
    </a:ln>
    <a:effectLst/>
  </c:spPr>
  <c:txPr>
    <a:bodyPr/>
    <a:lstStyle/>
    <a:p>
      <a:pPr>
        <a:defRPr b="1">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Lapas3!$D$61</c:f>
              <c:strCache>
                <c:ptCount val="1"/>
                <c:pt idx="0">
                  <c:v>2020 m.</c:v>
                </c:pt>
              </c:strCache>
            </c:strRef>
          </c:tx>
          <c:spPr>
            <a:solidFill>
              <a:schemeClr val="accent1"/>
            </a:solidFill>
            <a:ln>
              <a:noFill/>
            </a:ln>
            <a:effectLst/>
          </c:spPr>
          <c:invertIfNegative val="0"/>
          <c:cat>
            <c:strRef>
              <c:f>Lapas3!$C$62:$C$67</c:f>
              <c:strCache>
                <c:ptCount val="6"/>
                <c:pt idx="0">
                  <c:v>Vilniaus TLK</c:v>
                </c:pt>
                <c:pt idx="1">
                  <c:v>Kauno TLK</c:v>
                </c:pt>
                <c:pt idx="2">
                  <c:v>Klaipėdos TLK</c:v>
                </c:pt>
                <c:pt idx="3">
                  <c:v>Šiaulių TLK</c:v>
                </c:pt>
                <c:pt idx="4">
                  <c:v>Panevėžio TLK</c:v>
                </c:pt>
                <c:pt idx="5">
                  <c:v>Šalies mastu</c:v>
                </c:pt>
              </c:strCache>
            </c:strRef>
          </c:cat>
          <c:val>
            <c:numRef>
              <c:f>Lapas3!$D$62:$D$67</c:f>
              <c:numCache>
                <c:formatCode>General</c:formatCode>
                <c:ptCount val="6"/>
                <c:pt idx="0">
                  <c:v>70</c:v>
                </c:pt>
                <c:pt idx="1">
                  <c:v>93</c:v>
                </c:pt>
                <c:pt idx="2">
                  <c:v>98</c:v>
                </c:pt>
                <c:pt idx="3">
                  <c:v>99</c:v>
                </c:pt>
                <c:pt idx="4">
                  <c:v>86</c:v>
                </c:pt>
                <c:pt idx="5">
                  <c:v>87</c:v>
                </c:pt>
              </c:numCache>
            </c:numRef>
          </c:val>
          <c:extLst>
            <c:ext xmlns:c16="http://schemas.microsoft.com/office/drawing/2014/chart" uri="{C3380CC4-5D6E-409C-BE32-E72D297353CC}">
              <c16:uniqueId val="{00000000-1F1D-45C3-AEB3-86DF9EFA4F72}"/>
            </c:ext>
          </c:extLst>
        </c:ser>
        <c:ser>
          <c:idx val="1"/>
          <c:order val="1"/>
          <c:tx>
            <c:strRef>
              <c:f>Lapas3!$E$61</c:f>
              <c:strCache>
                <c:ptCount val="1"/>
                <c:pt idx="0">
                  <c:v>2021 m.</c:v>
                </c:pt>
              </c:strCache>
            </c:strRef>
          </c:tx>
          <c:spPr>
            <a:solidFill>
              <a:schemeClr val="accent2"/>
            </a:solidFill>
            <a:ln>
              <a:noFill/>
            </a:ln>
            <a:effectLst/>
          </c:spPr>
          <c:invertIfNegative val="0"/>
          <c:cat>
            <c:strRef>
              <c:f>Lapas3!$C$62:$C$67</c:f>
              <c:strCache>
                <c:ptCount val="6"/>
                <c:pt idx="0">
                  <c:v>Vilniaus TLK</c:v>
                </c:pt>
                <c:pt idx="1">
                  <c:v>Kauno TLK</c:v>
                </c:pt>
                <c:pt idx="2">
                  <c:v>Klaipėdos TLK</c:v>
                </c:pt>
                <c:pt idx="3">
                  <c:v>Šiaulių TLK</c:v>
                </c:pt>
                <c:pt idx="4">
                  <c:v>Panevėžio TLK</c:v>
                </c:pt>
                <c:pt idx="5">
                  <c:v>Šalies mastu</c:v>
                </c:pt>
              </c:strCache>
            </c:strRef>
          </c:cat>
          <c:val>
            <c:numRef>
              <c:f>Lapas3!$E$62:$E$67</c:f>
              <c:numCache>
                <c:formatCode>General</c:formatCode>
                <c:ptCount val="6"/>
                <c:pt idx="0">
                  <c:v>96</c:v>
                </c:pt>
                <c:pt idx="1">
                  <c:v>96</c:v>
                </c:pt>
                <c:pt idx="2">
                  <c:v>90</c:v>
                </c:pt>
                <c:pt idx="3">
                  <c:v>97</c:v>
                </c:pt>
                <c:pt idx="4">
                  <c:v>99</c:v>
                </c:pt>
                <c:pt idx="5">
                  <c:v>96</c:v>
                </c:pt>
              </c:numCache>
            </c:numRef>
          </c:val>
          <c:extLst>
            <c:ext xmlns:c16="http://schemas.microsoft.com/office/drawing/2014/chart" uri="{C3380CC4-5D6E-409C-BE32-E72D297353CC}">
              <c16:uniqueId val="{00000001-1F1D-45C3-AEB3-86DF9EFA4F72}"/>
            </c:ext>
          </c:extLst>
        </c:ser>
        <c:ser>
          <c:idx val="2"/>
          <c:order val="2"/>
          <c:tx>
            <c:strRef>
              <c:f>Lapas3!$F$61</c:f>
              <c:strCache>
                <c:ptCount val="1"/>
                <c:pt idx="0">
                  <c:v>2022 m.</c:v>
                </c:pt>
              </c:strCache>
            </c:strRef>
          </c:tx>
          <c:spPr>
            <a:solidFill>
              <a:schemeClr val="accent3"/>
            </a:solidFill>
            <a:ln>
              <a:noFill/>
            </a:ln>
            <a:effectLst/>
          </c:spPr>
          <c:invertIfNegative val="0"/>
          <c:cat>
            <c:strRef>
              <c:f>Lapas3!$C$62:$C$67</c:f>
              <c:strCache>
                <c:ptCount val="6"/>
                <c:pt idx="0">
                  <c:v>Vilniaus TLK</c:v>
                </c:pt>
                <c:pt idx="1">
                  <c:v>Kauno TLK</c:v>
                </c:pt>
                <c:pt idx="2">
                  <c:v>Klaipėdos TLK</c:v>
                </c:pt>
                <c:pt idx="3">
                  <c:v>Šiaulių TLK</c:v>
                </c:pt>
                <c:pt idx="4">
                  <c:v>Panevėžio TLK</c:v>
                </c:pt>
                <c:pt idx="5">
                  <c:v>Šalies mastu</c:v>
                </c:pt>
              </c:strCache>
            </c:strRef>
          </c:cat>
          <c:val>
            <c:numRef>
              <c:f>Lapas3!$F$62:$F$67</c:f>
              <c:numCache>
                <c:formatCode>General</c:formatCode>
                <c:ptCount val="6"/>
                <c:pt idx="0">
                  <c:v>81</c:v>
                </c:pt>
                <c:pt idx="1">
                  <c:v>93</c:v>
                </c:pt>
                <c:pt idx="2">
                  <c:v>88</c:v>
                </c:pt>
                <c:pt idx="3">
                  <c:v>90</c:v>
                </c:pt>
                <c:pt idx="4">
                  <c:v>89</c:v>
                </c:pt>
                <c:pt idx="5">
                  <c:v>89</c:v>
                </c:pt>
              </c:numCache>
            </c:numRef>
          </c:val>
          <c:extLst>
            <c:ext xmlns:c16="http://schemas.microsoft.com/office/drawing/2014/chart" uri="{C3380CC4-5D6E-409C-BE32-E72D297353CC}">
              <c16:uniqueId val="{00000002-1F1D-45C3-AEB3-86DF9EFA4F72}"/>
            </c:ext>
          </c:extLst>
        </c:ser>
        <c:ser>
          <c:idx val="3"/>
          <c:order val="3"/>
          <c:tx>
            <c:strRef>
              <c:f>Lapas3!$G$61</c:f>
              <c:strCache>
                <c:ptCount val="1"/>
                <c:pt idx="0">
                  <c:v>2023 m.</c:v>
                </c:pt>
              </c:strCache>
            </c:strRef>
          </c:tx>
          <c:spPr>
            <a:solidFill>
              <a:schemeClr val="accent4"/>
            </a:solidFill>
            <a:ln>
              <a:noFill/>
            </a:ln>
            <a:effectLst/>
          </c:spPr>
          <c:invertIfNegative val="0"/>
          <c:cat>
            <c:strRef>
              <c:f>Lapas3!$C$62:$C$67</c:f>
              <c:strCache>
                <c:ptCount val="6"/>
                <c:pt idx="0">
                  <c:v>Vilniaus TLK</c:v>
                </c:pt>
                <c:pt idx="1">
                  <c:v>Kauno TLK</c:v>
                </c:pt>
                <c:pt idx="2">
                  <c:v>Klaipėdos TLK</c:v>
                </c:pt>
                <c:pt idx="3">
                  <c:v>Šiaulių TLK</c:v>
                </c:pt>
                <c:pt idx="4">
                  <c:v>Panevėžio TLK</c:v>
                </c:pt>
                <c:pt idx="5">
                  <c:v>Šalies mastu</c:v>
                </c:pt>
              </c:strCache>
            </c:strRef>
          </c:cat>
          <c:val>
            <c:numRef>
              <c:f>Lapas3!$G$62:$G$67</c:f>
              <c:numCache>
                <c:formatCode>General</c:formatCode>
                <c:ptCount val="6"/>
                <c:pt idx="0">
                  <c:v>69</c:v>
                </c:pt>
                <c:pt idx="1">
                  <c:v>96</c:v>
                </c:pt>
                <c:pt idx="2">
                  <c:v>77</c:v>
                </c:pt>
                <c:pt idx="3">
                  <c:v>93</c:v>
                </c:pt>
                <c:pt idx="4">
                  <c:v>89</c:v>
                </c:pt>
                <c:pt idx="5">
                  <c:v>86</c:v>
                </c:pt>
              </c:numCache>
            </c:numRef>
          </c:val>
          <c:extLst>
            <c:ext xmlns:c16="http://schemas.microsoft.com/office/drawing/2014/chart" uri="{C3380CC4-5D6E-409C-BE32-E72D297353CC}">
              <c16:uniqueId val="{00000003-1F1D-45C3-AEB3-86DF9EFA4F72}"/>
            </c:ext>
          </c:extLst>
        </c:ser>
        <c:ser>
          <c:idx val="4"/>
          <c:order val="4"/>
          <c:tx>
            <c:strRef>
              <c:f>Lapas3!$H$61</c:f>
              <c:strCache>
                <c:ptCount val="1"/>
                <c:pt idx="0">
                  <c:v>2024 m.</c:v>
                </c:pt>
              </c:strCache>
            </c:strRef>
          </c:tx>
          <c:spPr>
            <a:solidFill>
              <a:schemeClr val="accent5"/>
            </a:solidFill>
            <a:ln>
              <a:noFill/>
            </a:ln>
            <a:effectLst/>
          </c:spPr>
          <c:invertIfNegative val="0"/>
          <c:cat>
            <c:strRef>
              <c:f>Lapas3!$C$62:$C$67</c:f>
              <c:strCache>
                <c:ptCount val="6"/>
                <c:pt idx="0">
                  <c:v>Vilniaus TLK</c:v>
                </c:pt>
                <c:pt idx="1">
                  <c:v>Kauno TLK</c:v>
                </c:pt>
                <c:pt idx="2">
                  <c:v>Klaipėdos TLK</c:v>
                </c:pt>
                <c:pt idx="3">
                  <c:v>Šiaulių TLK</c:v>
                </c:pt>
                <c:pt idx="4">
                  <c:v>Panevėžio TLK</c:v>
                </c:pt>
                <c:pt idx="5">
                  <c:v>Šalies mastu</c:v>
                </c:pt>
              </c:strCache>
            </c:strRef>
          </c:cat>
          <c:val>
            <c:numRef>
              <c:f>Lapas3!$H$62:$H$67</c:f>
              <c:numCache>
                <c:formatCode>General</c:formatCode>
                <c:ptCount val="6"/>
                <c:pt idx="0">
                  <c:v>85</c:v>
                </c:pt>
                <c:pt idx="1">
                  <c:v>94</c:v>
                </c:pt>
                <c:pt idx="2">
                  <c:v>84</c:v>
                </c:pt>
                <c:pt idx="3">
                  <c:v>89</c:v>
                </c:pt>
                <c:pt idx="4">
                  <c:v>92</c:v>
                </c:pt>
                <c:pt idx="5">
                  <c:v>89</c:v>
                </c:pt>
              </c:numCache>
            </c:numRef>
          </c:val>
          <c:extLst>
            <c:ext xmlns:c16="http://schemas.microsoft.com/office/drawing/2014/chart" uri="{C3380CC4-5D6E-409C-BE32-E72D297353CC}">
              <c16:uniqueId val="{00000004-1F1D-45C3-AEB3-86DF9EFA4F72}"/>
            </c:ext>
          </c:extLst>
        </c:ser>
        <c:dLbls>
          <c:showLegendKey val="0"/>
          <c:showVal val="0"/>
          <c:showCatName val="0"/>
          <c:showSerName val="0"/>
          <c:showPercent val="0"/>
          <c:showBubbleSize val="0"/>
        </c:dLbls>
        <c:gapWidth val="219"/>
        <c:overlap val="-27"/>
        <c:axId val="89317936"/>
        <c:axId val="2057625776"/>
      </c:barChart>
      <c:catAx>
        <c:axId val="8931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2057625776"/>
        <c:crosses val="autoZero"/>
        <c:auto val="1"/>
        <c:lblAlgn val="ctr"/>
        <c:lblOffset val="100"/>
        <c:noMultiLvlLbl val="0"/>
      </c:catAx>
      <c:valAx>
        <c:axId val="2057625776"/>
        <c:scaling>
          <c:orientation val="minMax"/>
          <c:max val="100"/>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89317936"/>
        <c:crosses val="autoZero"/>
        <c:crossBetween val="between"/>
        <c:majorUnit val="2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6"/>
      </a:solidFill>
      <a:prstDash val="solid"/>
      <a:miter lim="800000"/>
    </a:ln>
    <a:effectLst/>
  </c:spPr>
  <c:txPr>
    <a:bodyPr/>
    <a:lstStyle/>
    <a:p>
      <a:pPr>
        <a:defRPr b="1">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12177066898495"/>
          <c:y val="2.830018357531898E-2"/>
          <c:w val="0.8648782293310151"/>
          <c:h val="0.49874336481870518"/>
        </c:manualLayout>
      </c:layout>
      <c:barChart>
        <c:barDir val="col"/>
        <c:grouping val="clustered"/>
        <c:varyColors val="0"/>
        <c:ser>
          <c:idx val="0"/>
          <c:order val="0"/>
          <c:tx>
            <c:strRef>
              <c:f>Lapas3!$D$78</c:f>
              <c:strCache>
                <c:ptCount val="1"/>
                <c:pt idx="0">
                  <c:v>2020 m.</c:v>
                </c:pt>
              </c:strCache>
            </c:strRef>
          </c:tx>
          <c:spPr>
            <a:solidFill>
              <a:schemeClr val="accent1"/>
            </a:solidFill>
            <a:ln>
              <a:noFill/>
            </a:ln>
            <a:effectLst/>
          </c:spPr>
          <c:invertIfNegative val="0"/>
          <c:cat>
            <c:strRef>
              <c:f>Lapas3!$C$79:$C$84</c:f>
              <c:strCache>
                <c:ptCount val="6"/>
                <c:pt idx="0">
                  <c:v>Vilniaus TLK</c:v>
                </c:pt>
                <c:pt idx="1">
                  <c:v>Kauno TLK</c:v>
                </c:pt>
                <c:pt idx="2">
                  <c:v>Klaipėdos TLK</c:v>
                </c:pt>
                <c:pt idx="3">
                  <c:v>Šiaulių TLK</c:v>
                </c:pt>
                <c:pt idx="4">
                  <c:v>Panevėžio TLK</c:v>
                </c:pt>
                <c:pt idx="5">
                  <c:v>Šalies mastu</c:v>
                </c:pt>
              </c:strCache>
            </c:strRef>
          </c:cat>
          <c:val>
            <c:numRef>
              <c:f>Lapas3!$D$79:$D$84</c:f>
              <c:numCache>
                <c:formatCode>#,##0</c:formatCode>
                <c:ptCount val="6"/>
                <c:pt idx="0">
                  <c:v>62744</c:v>
                </c:pt>
                <c:pt idx="1">
                  <c:v>46400</c:v>
                </c:pt>
                <c:pt idx="2">
                  <c:v>17977</c:v>
                </c:pt>
                <c:pt idx="3">
                  <c:v>30670</c:v>
                </c:pt>
                <c:pt idx="4">
                  <c:v>14104</c:v>
                </c:pt>
                <c:pt idx="5">
                  <c:v>171895</c:v>
                </c:pt>
              </c:numCache>
            </c:numRef>
          </c:val>
          <c:extLst>
            <c:ext xmlns:c16="http://schemas.microsoft.com/office/drawing/2014/chart" uri="{C3380CC4-5D6E-409C-BE32-E72D297353CC}">
              <c16:uniqueId val="{00000000-60CE-4619-909C-FC119E3DFC95}"/>
            </c:ext>
          </c:extLst>
        </c:ser>
        <c:ser>
          <c:idx val="1"/>
          <c:order val="1"/>
          <c:tx>
            <c:strRef>
              <c:f>Lapas3!$E$78</c:f>
              <c:strCache>
                <c:ptCount val="1"/>
                <c:pt idx="0">
                  <c:v>2021 m.</c:v>
                </c:pt>
              </c:strCache>
            </c:strRef>
          </c:tx>
          <c:spPr>
            <a:solidFill>
              <a:schemeClr val="accent2"/>
            </a:solidFill>
            <a:ln>
              <a:noFill/>
            </a:ln>
            <a:effectLst/>
          </c:spPr>
          <c:invertIfNegative val="0"/>
          <c:cat>
            <c:strRef>
              <c:f>Lapas3!$C$79:$C$84</c:f>
              <c:strCache>
                <c:ptCount val="6"/>
                <c:pt idx="0">
                  <c:v>Vilniaus TLK</c:v>
                </c:pt>
                <c:pt idx="1">
                  <c:v>Kauno TLK</c:v>
                </c:pt>
                <c:pt idx="2">
                  <c:v>Klaipėdos TLK</c:v>
                </c:pt>
                <c:pt idx="3">
                  <c:v>Šiaulių TLK</c:v>
                </c:pt>
                <c:pt idx="4">
                  <c:v>Panevėžio TLK</c:v>
                </c:pt>
                <c:pt idx="5">
                  <c:v>Šalies mastu</c:v>
                </c:pt>
              </c:strCache>
            </c:strRef>
          </c:cat>
          <c:val>
            <c:numRef>
              <c:f>Lapas3!$E$79:$E$84</c:f>
              <c:numCache>
                <c:formatCode>#,##0</c:formatCode>
                <c:ptCount val="6"/>
                <c:pt idx="0">
                  <c:v>60480</c:v>
                </c:pt>
                <c:pt idx="1">
                  <c:v>46400</c:v>
                </c:pt>
                <c:pt idx="2">
                  <c:v>44656</c:v>
                </c:pt>
                <c:pt idx="3">
                  <c:v>30988</c:v>
                </c:pt>
                <c:pt idx="4">
                  <c:v>17406</c:v>
                </c:pt>
                <c:pt idx="5">
                  <c:v>199930</c:v>
                </c:pt>
              </c:numCache>
            </c:numRef>
          </c:val>
          <c:extLst>
            <c:ext xmlns:c16="http://schemas.microsoft.com/office/drawing/2014/chart" uri="{C3380CC4-5D6E-409C-BE32-E72D297353CC}">
              <c16:uniqueId val="{00000001-60CE-4619-909C-FC119E3DFC95}"/>
            </c:ext>
          </c:extLst>
        </c:ser>
        <c:ser>
          <c:idx val="2"/>
          <c:order val="2"/>
          <c:tx>
            <c:strRef>
              <c:f>Lapas3!$F$78</c:f>
              <c:strCache>
                <c:ptCount val="1"/>
                <c:pt idx="0">
                  <c:v>2022 m.</c:v>
                </c:pt>
              </c:strCache>
            </c:strRef>
          </c:tx>
          <c:spPr>
            <a:solidFill>
              <a:schemeClr val="accent3"/>
            </a:solidFill>
            <a:ln>
              <a:noFill/>
            </a:ln>
            <a:effectLst/>
          </c:spPr>
          <c:invertIfNegative val="0"/>
          <c:cat>
            <c:strRef>
              <c:f>Lapas3!$C$79:$C$84</c:f>
              <c:strCache>
                <c:ptCount val="6"/>
                <c:pt idx="0">
                  <c:v>Vilniaus TLK</c:v>
                </c:pt>
                <c:pt idx="1">
                  <c:v>Kauno TLK</c:v>
                </c:pt>
                <c:pt idx="2">
                  <c:v>Klaipėdos TLK</c:v>
                </c:pt>
                <c:pt idx="3">
                  <c:v>Šiaulių TLK</c:v>
                </c:pt>
                <c:pt idx="4">
                  <c:v>Panevėžio TLK</c:v>
                </c:pt>
                <c:pt idx="5">
                  <c:v>Šalies mastu</c:v>
                </c:pt>
              </c:strCache>
            </c:strRef>
          </c:cat>
          <c:val>
            <c:numRef>
              <c:f>Lapas3!$F$79:$F$84</c:f>
              <c:numCache>
                <c:formatCode>#,##0</c:formatCode>
                <c:ptCount val="6"/>
                <c:pt idx="0">
                  <c:v>56616</c:v>
                </c:pt>
                <c:pt idx="1">
                  <c:v>46686</c:v>
                </c:pt>
                <c:pt idx="2">
                  <c:v>23050</c:v>
                </c:pt>
                <c:pt idx="3">
                  <c:v>31150</c:v>
                </c:pt>
                <c:pt idx="4">
                  <c:v>17064</c:v>
                </c:pt>
                <c:pt idx="5">
                  <c:v>174566</c:v>
                </c:pt>
              </c:numCache>
            </c:numRef>
          </c:val>
          <c:extLst>
            <c:ext xmlns:c16="http://schemas.microsoft.com/office/drawing/2014/chart" uri="{C3380CC4-5D6E-409C-BE32-E72D297353CC}">
              <c16:uniqueId val="{00000002-60CE-4619-909C-FC119E3DFC95}"/>
            </c:ext>
          </c:extLst>
        </c:ser>
        <c:ser>
          <c:idx val="3"/>
          <c:order val="3"/>
          <c:tx>
            <c:strRef>
              <c:f>Lapas3!$G$78</c:f>
              <c:strCache>
                <c:ptCount val="1"/>
                <c:pt idx="0">
                  <c:v>2023 m.</c:v>
                </c:pt>
              </c:strCache>
            </c:strRef>
          </c:tx>
          <c:spPr>
            <a:solidFill>
              <a:schemeClr val="accent4"/>
            </a:solidFill>
            <a:ln>
              <a:noFill/>
            </a:ln>
            <a:effectLst/>
          </c:spPr>
          <c:invertIfNegative val="0"/>
          <c:cat>
            <c:strRef>
              <c:f>Lapas3!$C$79:$C$84</c:f>
              <c:strCache>
                <c:ptCount val="6"/>
                <c:pt idx="0">
                  <c:v>Vilniaus TLK</c:v>
                </c:pt>
                <c:pt idx="1">
                  <c:v>Kauno TLK</c:v>
                </c:pt>
                <c:pt idx="2">
                  <c:v>Klaipėdos TLK</c:v>
                </c:pt>
                <c:pt idx="3">
                  <c:v>Šiaulių TLK</c:v>
                </c:pt>
                <c:pt idx="4">
                  <c:v>Panevėžio TLK</c:v>
                </c:pt>
                <c:pt idx="5">
                  <c:v>Šalies mastu</c:v>
                </c:pt>
              </c:strCache>
            </c:strRef>
          </c:cat>
          <c:val>
            <c:numRef>
              <c:f>Lapas3!$G$79:$G$84</c:f>
              <c:numCache>
                <c:formatCode>#,##0</c:formatCode>
                <c:ptCount val="6"/>
                <c:pt idx="0">
                  <c:v>49270</c:v>
                </c:pt>
                <c:pt idx="1">
                  <c:v>58136</c:v>
                </c:pt>
                <c:pt idx="2">
                  <c:v>12307</c:v>
                </c:pt>
                <c:pt idx="3">
                  <c:v>33901</c:v>
                </c:pt>
                <c:pt idx="4">
                  <c:v>18229</c:v>
                </c:pt>
                <c:pt idx="5">
                  <c:v>171843</c:v>
                </c:pt>
              </c:numCache>
            </c:numRef>
          </c:val>
          <c:extLst>
            <c:ext xmlns:c16="http://schemas.microsoft.com/office/drawing/2014/chart" uri="{C3380CC4-5D6E-409C-BE32-E72D297353CC}">
              <c16:uniqueId val="{00000003-60CE-4619-909C-FC119E3DFC95}"/>
            </c:ext>
          </c:extLst>
        </c:ser>
        <c:ser>
          <c:idx val="4"/>
          <c:order val="4"/>
          <c:tx>
            <c:strRef>
              <c:f>Lapas3!$H$78</c:f>
              <c:strCache>
                <c:ptCount val="1"/>
                <c:pt idx="0">
                  <c:v>2024 m.</c:v>
                </c:pt>
              </c:strCache>
            </c:strRef>
          </c:tx>
          <c:spPr>
            <a:solidFill>
              <a:schemeClr val="accent5"/>
            </a:solidFill>
            <a:ln>
              <a:noFill/>
            </a:ln>
            <a:effectLst/>
          </c:spPr>
          <c:invertIfNegative val="0"/>
          <c:cat>
            <c:strRef>
              <c:f>Lapas3!$C$79:$C$84</c:f>
              <c:strCache>
                <c:ptCount val="6"/>
                <c:pt idx="0">
                  <c:v>Vilniaus TLK</c:v>
                </c:pt>
                <c:pt idx="1">
                  <c:v>Kauno TLK</c:v>
                </c:pt>
                <c:pt idx="2">
                  <c:v>Klaipėdos TLK</c:v>
                </c:pt>
                <c:pt idx="3">
                  <c:v>Šiaulių TLK</c:v>
                </c:pt>
                <c:pt idx="4">
                  <c:v>Panevėžio TLK</c:v>
                </c:pt>
                <c:pt idx="5">
                  <c:v>Šalies mastu</c:v>
                </c:pt>
              </c:strCache>
            </c:strRef>
          </c:cat>
          <c:val>
            <c:numRef>
              <c:f>Lapas3!$H$79:$H$84</c:f>
              <c:numCache>
                <c:formatCode>#,##0</c:formatCode>
                <c:ptCount val="6"/>
                <c:pt idx="0">
                  <c:v>29103</c:v>
                </c:pt>
                <c:pt idx="1">
                  <c:v>24799</c:v>
                </c:pt>
                <c:pt idx="2">
                  <c:v>11231</c:v>
                </c:pt>
                <c:pt idx="3">
                  <c:v>30969</c:v>
                </c:pt>
                <c:pt idx="4">
                  <c:v>17922</c:v>
                </c:pt>
                <c:pt idx="5">
                  <c:v>114024</c:v>
                </c:pt>
              </c:numCache>
            </c:numRef>
          </c:val>
          <c:extLst>
            <c:ext xmlns:c16="http://schemas.microsoft.com/office/drawing/2014/chart" uri="{C3380CC4-5D6E-409C-BE32-E72D297353CC}">
              <c16:uniqueId val="{00000004-60CE-4619-909C-FC119E3DFC95}"/>
            </c:ext>
          </c:extLst>
        </c:ser>
        <c:dLbls>
          <c:showLegendKey val="0"/>
          <c:showVal val="0"/>
          <c:showCatName val="0"/>
          <c:showSerName val="0"/>
          <c:showPercent val="0"/>
          <c:showBubbleSize val="0"/>
        </c:dLbls>
        <c:gapWidth val="219"/>
        <c:overlap val="-27"/>
        <c:axId val="134736848"/>
        <c:axId val="140518896"/>
      </c:barChart>
      <c:catAx>
        <c:axId val="13473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40518896"/>
        <c:crosses val="autoZero"/>
        <c:auto val="1"/>
        <c:lblAlgn val="ctr"/>
        <c:lblOffset val="100"/>
        <c:noMultiLvlLbl val="0"/>
      </c:catAx>
      <c:valAx>
        <c:axId val="140518896"/>
        <c:scaling>
          <c:orientation val="minMax"/>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347368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lt1"/>
    </a:solidFill>
    <a:ln w="12700" cap="flat" cmpd="sng" algn="ctr">
      <a:solidFill>
        <a:schemeClr val="accent6"/>
      </a:solidFill>
      <a:prstDash val="solid"/>
      <a:miter lim="800000"/>
    </a:ln>
    <a:effectLst/>
  </c:spPr>
  <c:txPr>
    <a:bodyPr/>
    <a:lstStyle/>
    <a:p>
      <a:pPr>
        <a:defRPr b="1">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Lapas3!$D$88</c:f>
              <c:strCache>
                <c:ptCount val="1"/>
                <c:pt idx="0">
                  <c:v>2020 m.</c:v>
                </c:pt>
              </c:strCache>
            </c:strRef>
          </c:tx>
          <c:spPr>
            <a:solidFill>
              <a:schemeClr val="accent1"/>
            </a:solidFill>
            <a:ln>
              <a:noFill/>
            </a:ln>
            <a:effectLst/>
          </c:spPr>
          <c:invertIfNegative val="0"/>
          <c:cat>
            <c:strRef>
              <c:f>Lapas3!$C$89:$C$94</c:f>
              <c:strCache>
                <c:ptCount val="6"/>
                <c:pt idx="0">
                  <c:v>Vilniaus TLK</c:v>
                </c:pt>
                <c:pt idx="1">
                  <c:v>Kauno TLK</c:v>
                </c:pt>
                <c:pt idx="2">
                  <c:v>Klaipėdos TLK</c:v>
                </c:pt>
                <c:pt idx="3">
                  <c:v>Šiaulių TLK</c:v>
                </c:pt>
                <c:pt idx="4">
                  <c:v>Panevėžio TLK</c:v>
                </c:pt>
                <c:pt idx="5">
                  <c:v>Šalies mastu</c:v>
                </c:pt>
              </c:strCache>
            </c:strRef>
          </c:cat>
          <c:val>
            <c:numRef>
              <c:f>Lapas3!$D$89:$D$94</c:f>
              <c:numCache>
                <c:formatCode>0%</c:formatCode>
                <c:ptCount val="6"/>
                <c:pt idx="0">
                  <c:v>0.13</c:v>
                </c:pt>
                <c:pt idx="1">
                  <c:v>0.06</c:v>
                </c:pt>
                <c:pt idx="2">
                  <c:v>0.19</c:v>
                </c:pt>
                <c:pt idx="3">
                  <c:v>0.38</c:v>
                </c:pt>
                <c:pt idx="4">
                  <c:v>0.44</c:v>
                </c:pt>
                <c:pt idx="5">
                  <c:v>0.27</c:v>
                </c:pt>
              </c:numCache>
            </c:numRef>
          </c:val>
          <c:extLst>
            <c:ext xmlns:c16="http://schemas.microsoft.com/office/drawing/2014/chart" uri="{C3380CC4-5D6E-409C-BE32-E72D297353CC}">
              <c16:uniqueId val="{00000000-88FE-456A-8F91-C94273DFE1DB}"/>
            </c:ext>
          </c:extLst>
        </c:ser>
        <c:ser>
          <c:idx val="1"/>
          <c:order val="1"/>
          <c:tx>
            <c:strRef>
              <c:f>Lapas3!$E$88</c:f>
              <c:strCache>
                <c:ptCount val="1"/>
                <c:pt idx="0">
                  <c:v>2021 m.</c:v>
                </c:pt>
              </c:strCache>
            </c:strRef>
          </c:tx>
          <c:spPr>
            <a:solidFill>
              <a:schemeClr val="accent2"/>
            </a:solidFill>
            <a:ln>
              <a:noFill/>
            </a:ln>
            <a:effectLst/>
          </c:spPr>
          <c:invertIfNegative val="0"/>
          <c:cat>
            <c:strRef>
              <c:f>Lapas3!$C$89:$C$94</c:f>
              <c:strCache>
                <c:ptCount val="6"/>
                <c:pt idx="0">
                  <c:v>Vilniaus TLK</c:v>
                </c:pt>
                <c:pt idx="1">
                  <c:v>Kauno TLK</c:v>
                </c:pt>
                <c:pt idx="2">
                  <c:v>Klaipėdos TLK</c:v>
                </c:pt>
                <c:pt idx="3">
                  <c:v>Šiaulių TLK</c:v>
                </c:pt>
                <c:pt idx="4">
                  <c:v>Panevėžio TLK</c:v>
                </c:pt>
                <c:pt idx="5">
                  <c:v>Šalies mastu</c:v>
                </c:pt>
              </c:strCache>
            </c:strRef>
          </c:cat>
          <c:val>
            <c:numRef>
              <c:f>Lapas3!$E$89:$E$94</c:f>
              <c:numCache>
                <c:formatCode>0%</c:formatCode>
                <c:ptCount val="6"/>
                <c:pt idx="0">
                  <c:v>9.0999999999999998E-2</c:v>
                </c:pt>
                <c:pt idx="1">
                  <c:v>3.5999999999999997E-2</c:v>
                </c:pt>
                <c:pt idx="2">
                  <c:v>0.23</c:v>
                </c:pt>
                <c:pt idx="3">
                  <c:v>0.26</c:v>
                </c:pt>
                <c:pt idx="4">
                  <c:v>0.4</c:v>
                </c:pt>
                <c:pt idx="5">
                  <c:v>0.19</c:v>
                </c:pt>
              </c:numCache>
            </c:numRef>
          </c:val>
          <c:extLst>
            <c:ext xmlns:c16="http://schemas.microsoft.com/office/drawing/2014/chart" uri="{C3380CC4-5D6E-409C-BE32-E72D297353CC}">
              <c16:uniqueId val="{00000001-88FE-456A-8F91-C94273DFE1DB}"/>
            </c:ext>
          </c:extLst>
        </c:ser>
        <c:ser>
          <c:idx val="2"/>
          <c:order val="2"/>
          <c:tx>
            <c:strRef>
              <c:f>Lapas3!$F$88</c:f>
              <c:strCache>
                <c:ptCount val="1"/>
                <c:pt idx="0">
                  <c:v>2022 m.</c:v>
                </c:pt>
              </c:strCache>
            </c:strRef>
          </c:tx>
          <c:spPr>
            <a:solidFill>
              <a:schemeClr val="accent3"/>
            </a:solidFill>
            <a:ln>
              <a:noFill/>
            </a:ln>
            <a:effectLst/>
          </c:spPr>
          <c:invertIfNegative val="0"/>
          <c:cat>
            <c:strRef>
              <c:f>Lapas3!$C$89:$C$94</c:f>
              <c:strCache>
                <c:ptCount val="6"/>
                <c:pt idx="0">
                  <c:v>Vilniaus TLK</c:v>
                </c:pt>
                <c:pt idx="1">
                  <c:v>Kauno TLK</c:v>
                </c:pt>
                <c:pt idx="2">
                  <c:v>Klaipėdos TLK</c:v>
                </c:pt>
                <c:pt idx="3">
                  <c:v>Šiaulių TLK</c:v>
                </c:pt>
                <c:pt idx="4">
                  <c:v>Panevėžio TLK</c:v>
                </c:pt>
                <c:pt idx="5">
                  <c:v>Šalies mastu</c:v>
                </c:pt>
              </c:strCache>
            </c:strRef>
          </c:cat>
          <c:val>
            <c:numRef>
              <c:f>Lapas3!$F$89:$F$94</c:f>
              <c:numCache>
                <c:formatCode>0%</c:formatCode>
                <c:ptCount val="6"/>
                <c:pt idx="0">
                  <c:v>0.12</c:v>
                </c:pt>
                <c:pt idx="1">
                  <c:v>0.11</c:v>
                </c:pt>
                <c:pt idx="2">
                  <c:v>0.03</c:v>
                </c:pt>
                <c:pt idx="3">
                  <c:v>0.19</c:v>
                </c:pt>
                <c:pt idx="4">
                  <c:v>0.28000000000000003</c:v>
                </c:pt>
                <c:pt idx="5">
                  <c:v>0.14000000000000001</c:v>
                </c:pt>
              </c:numCache>
            </c:numRef>
          </c:val>
          <c:extLst>
            <c:ext xmlns:c16="http://schemas.microsoft.com/office/drawing/2014/chart" uri="{C3380CC4-5D6E-409C-BE32-E72D297353CC}">
              <c16:uniqueId val="{00000002-88FE-456A-8F91-C94273DFE1DB}"/>
            </c:ext>
          </c:extLst>
        </c:ser>
        <c:ser>
          <c:idx val="3"/>
          <c:order val="3"/>
          <c:tx>
            <c:strRef>
              <c:f>Lapas3!$G$88</c:f>
              <c:strCache>
                <c:ptCount val="1"/>
                <c:pt idx="0">
                  <c:v>2023 m.</c:v>
                </c:pt>
              </c:strCache>
            </c:strRef>
          </c:tx>
          <c:spPr>
            <a:solidFill>
              <a:schemeClr val="accent4"/>
            </a:solidFill>
            <a:ln>
              <a:noFill/>
            </a:ln>
            <a:effectLst/>
          </c:spPr>
          <c:invertIfNegative val="0"/>
          <c:cat>
            <c:strRef>
              <c:f>Lapas3!$C$89:$C$94</c:f>
              <c:strCache>
                <c:ptCount val="6"/>
                <c:pt idx="0">
                  <c:v>Vilniaus TLK</c:v>
                </c:pt>
                <c:pt idx="1">
                  <c:v>Kauno TLK</c:v>
                </c:pt>
                <c:pt idx="2">
                  <c:v>Klaipėdos TLK</c:v>
                </c:pt>
                <c:pt idx="3">
                  <c:v>Šiaulių TLK</c:v>
                </c:pt>
                <c:pt idx="4">
                  <c:v>Panevėžio TLK</c:v>
                </c:pt>
                <c:pt idx="5">
                  <c:v>Šalies mastu</c:v>
                </c:pt>
              </c:strCache>
            </c:strRef>
          </c:cat>
          <c:val>
            <c:numRef>
              <c:f>Lapas3!$G$89:$G$94</c:f>
              <c:numCache>
                <c:formatCode>0%</c:formatCode>
                <c:ptCount val="6"/>
                <c:pt idx="0">
                  <c:v>0.23</c:v>
                </c:pt>
                <c:pt idx="1">
                  <c:v>0.45</c:v>
                </c:pt>
                <c:pt idx="2">
                  <c:v>0.28000000000000003</c:v>
                </c:pt>
                <c:pt idx="3">
                  <c:v>0.86</c:v>
                </c:pt>
                <c:pt idx="4">
                  <c:v>0.55000000000000004</c:v>
                </c:pt>
                <c:pt idx="5">
                  <c:v>0.53</c:v>
                </c:pt>
              </c:numCache>
            </c:numRef>
          </c:val>
          <c:extLst>
            <c:ext xmlns:c16="http://schemas.microsoft.com/office/drawing/2014/chart" uri="{C3380CC4-5D6E-409C-BE32-E72D297353CC}">
              <c16:uniqueId val="{00000003-88FE-456A-8F91-C94273DFE1DB}"/>
            </c:ext>
          </c:extLst>
        </c:ser>
        <c:ser>
          <c:idx val="4"/>
          <c:order val="4"/>
          <c:tx>
            <c:strRef>
              <c:f>Lapas3!$H$88</c:f>
              <c:strCache>
                <c:ptCount val="1"/>
                <c:pt idx="0">
                  <c:v>2024 m. </c:v>
                </c:pt>
              </c:strCache>
            </c:strRef>
          </c:tx>
          <c:spPr>
            <a:solidFill>
              <a:schemeClr val="accent5"/>
            </a:solidFill>
            <a:ln>
              <a:noFill/>
            </a:ln>
            <a:effectLst/>
          </c:spPr>
          <c:invertIfNegative val="0"/>
          <c:cat>
            <c:strRef>
              <c:f>Lapas3!$C$89:$C$94</c:f>
              <c:strCache>
                <c:ptCount val="6"/>
                <c:pt idx="0">
                  <c:v>Vilniaus TLK</c:v>
                </c:pt>
                <c:pt idx="1">
                  <c:v>Kauno TLK</c:v>
                </c:pt>
                <c:pt idx="2">
                  <c:v>Klaipėdos TLK</c:v>
                </c:pt>
                <c:pt idx="3">
                  <c:v>Šiaulių TLK</c:v>
                </c:pt>
                <c:pt idx="4">
                  <c:v>Panevėžio TLK</c:v>
                </c:pt>
                <c:pt idx="5">
                  <c:v>Šalies mastu</c:v>
                </c:pt>
              </c:strCache>
            </c:strRef>
          </c:cat>
          <c:val>
            <c:numRef>
              <c:f>Lapas3!$H$89:$H$94</c:f>
              <c:numCache>
                <c:formatCode>0%</c:formatCode>
                <c:ptCount val="6"/>
                <c:pt idx="0">
                  <c:v>0.45299145299145299</c:v>
                </c:pt>
                <c:pt idx="1">
                  <c:v>0.47126436781609193</c:v>
                </c:pt>
                <c:pt idx="2">
                  <c:v>9.6774193548387094E-2</c:v>
                </c:pt>
                <c:pt idx="3">
                  <c:v>0.62962962962962965</c:v>
                </c:pt>
                <c:pt idx="4">
                  <c:v>0.43023255813953487</c:v>
                </c:pt>
                <c:pt idx="5">
                  <c:v>0.39816933638443935</c:v>
                </c:pt>
              </c:numCache>
            </c:numRef>
          </c:val>
          <c:extLst>
            <c:ext xmlns:c16="http://schemas.microsoft.com/office/drawing/2014/chart" uri="{C3380CC4-5D6E-409C-BE32-E72D297353CC}">
              <c16:uniqueId val="{00000004-88FE-456A-8F91-C94273DFE1DB}"/>
            </c:ext>
          </c:extLst>
        </c:ser>
        <c:dLbls>
          <c:showLegendKey val="0"/>
          <c:showVal val="0"/>
          <c:showCatName val="0"/>
          <c:showSerName val="0"/>
          <c:showPercent val="0"/>
          <c:showBubbleSize val="0"/>
        </c:dLbls>
        <c:gapWidth val="219"/>
        <c:overlap val="-27"/>
        <c:axId val="142961408"/>
        <c:axId val="239235152"/>
      </c:barChart>
      <c:catAx>
        <c:axId val="14296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239235152"/>
        <c:crosses val="autoZero"/>
        <c:auto val="1"/>
        <c:lblAlgn val="ctr"/>
        <c:lblOffset val="100"/>
        <c:noMultiLvlLbl val="0"/>
      </c:catAx>
      <c:valAx>
        <c:axId val="239235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42961408"/>
        <c:crosses val="autoZero"/>
        <c:crossBetween val="between"/>
        <c:majorUnit val="0.2"/>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lt1"/>
    </a:solidFill>
    <a:ln w="12700" cap="flat" cmpd="sng" algn="ctr">
      <a:solidFill>
        <a:schemeClr val="accent6"/>
      </a:solidFill>
      <a:prstDash val="solid"/>
      <a:miter lim="800000"/>
    </a:ln>
    <a:effectLst/>
  </c:spPr>
  <c:txPr>
    <a:bodyPr/>
    <a:lstStyle/>
    <a:p>
      <a:pPr>
        <a:defRPr b="1">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0.39173</cdr:x>
      <cdr:y>0.04369</cdr:y>
    </cdr:from>
    <cdr:to>
      <cdr:x>0.57921</cdr:x>
      <cdr:y>0.1675</cdr:y>
    </cdr:to>
    <cdr:sp macro="" textlink="">
      <cdr:nvSpPr>
        <cdr:cNvPr id="4" name="Teksto laukas 3"/>
        <cdr:cNvSpPr txBox="1"/>
      </cdr:nvSpPr>
      <cdr:spPr>
        <a:xfrm xmlns:a="http://schemas.openxmlformats.org/drawingml/2006/main" rot="21233669">
          <a:off x="2317070" y="85725"/>
          <a:ext cx="1108949" cy="2429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lt-LT" sz="1200" b="1">
            <a:solidFill>
              <a:srgbClr val="FF0000"/>
            </a:solidFill>
          </a:endParaRPr>
        </a:p>
      </cdr:txBody>
    </cdr:sp>
  </cdr:relSizeAnchor>
  <cdr:relSizeAnchor xmlns:cdr="http://schemas.openxmlformats.org/drawingml/2006/chartDrawing">
    <cdr:from>
      <cdr:x>0.44472</cdr:x>
      <cdr:y>0.33608</cdr:y>
    </cdr:from>
    <cdr:to>
      <cdr:x>0.57058</cdr:x>
      <cdr:y>0.4175</cdr:y>
    </cdr:to>
    <cdr:sp macro="" textlink="">
      <cdr:nvSpPr>
        <cdr:cNvPr id="5" name="Teksto laukas 1"/>
        <cdr:cNvSpPr txBox="1"/>
      </cdr:nvSpPr>
      <cdr:spPr>
        <a:xfrm xmlns:a="http://schemas.openxmlformats.org/drawingml/2006/main" rot="20957800">
          <a:off x="2630559" y="659431"/>
          <a:ext cx="744465" cy="1597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t-LT" sz="1050" b="1">
            <a:solidFill>
              <a:srgbClr val="00B050"/>
            </a:solidFill>
          </a:endParaRPr>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33D35-6F04-49CC-BA8D-2FA5BB77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21319</Words>
  <Characters>12153</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Savičiūtė</dc:creator>
  <cp:keywords/>
  <dc:description/>
  <cp:lastModifiedBy>Gediminas Toleikis</cp:lastModifiedBy>
  <cp:revision>5</cp:revision>
  <dcterms:created xsi:type="dcterms:W3CDTF">2025-04-01T05:44:00Z</dcterms:created>
  <dcterms:modified xsi:type="dcterms:W3CDTF">2025-04-07T13:00:00Z</dcterms:modified>
</cp:coreProperties>
</file>